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CE" w:rsidRPr="00F33B16" w:rsidRDefault="003439CE" w:rsidP="00F33B16">
      <w:pPr>
        <w:spacing w:before="120"/>
        <w:jc w:val="center"/>
        <w:rPr>
          <w:rFonts w:ascii="Times New Roman" w:hAnsi="Times New Roman"/>
          <w:sz w:val="24"/>
          <w:szCs w:val="24"/>
        </w:rPr>
      </w:pPr>
      <w:bookmarkStart w:id="0" w:name="_GoBack"/>
      <w:bookmarkEnd w:id="0"/>
      <w:r w:rsidRPr="00F33B16">
        <w:rPr>
          <w:rFonts w:ascii="Times New Roman" w:hAnsi="Times New Roman"/>
          <w:sz w:val="24"/>
          <w:szCs w:val="24"/>
        </w:rPr>
        <w:t>BẢN THUYẾT MINH BÁO CÁO TÀI CHÍNH</w:t>
      </w:r>
    </w:p>
    <w:p w:rsidR="003439CE" w:rsidRPr="00F33B16" w:rsidRDefault="007609F2" w:rsidP="00F33B16">
      <w:pPr>
        <w:jc w:val="center"/>
        <w:rPr>
          <w:rFonts w:ascii="Times New Roman" w:hAnsi="Times New Roman"/>
          <w:sz w:val="24"/>
          <w:szCs w:val="24"/>
        </w:rPr>
      </w:pPr>
      <w:r>
        <w:rPr>
          <w:rFonts w:ascii="Times New Roman" w:hAnsi="Times New Roman"/>
          <w:sz w:val="24"/>
          <w:szCs w:val="24"/>
        </w:rPr>
        <w:t>TẠI NGÀY 31/12/2021</w:t>
      </w:r>
    </w:p>
    <w:p w:rsidR="003439CE" w:rsidRPr="00F33B16" w:rsidRDefault="003439CE" w:rsidP="00F33B16">
      <w:pPr>
        <w:jc w:val="center"/>
        <w:rPr>
          <w:rFonts w:ascii="Times New Roman" w:hAnsi="Times New Roman"/>
          <w:sz w:val="24"/>
          <w:szCs w:val="24"/>
        </w:rPr>
      </w:pPr>
    </w:p>
    <w:p w:rsidR="003439CE" w:rsidRPr="00F33B16" w:rsidRDefault="003439CE" w:rsidP="00F33B16">
      <w:pPr>
        <w:spacing w:before="120" w:after="120"/>
        <w:jc w:val="both"/>
        <w:rPr>
          <w:rFonts w:ascii="Times New Roman" w:hAnsi="Times New Roman"/>
          <w:sz w:val="24"/>
          <w:szCs w:val="24"/>
        </w:rPr>
      </w:pPr>
      <w:r w:rsidRPr="00F33B16">
        <w:rPr>
          <w:rFonts w:ascii="Times New Roman" w:hAnsi="Times New Roman"/>
          <w:sz w:val="24"/>
          <w:szCs w:val="24"/>
        </w:rPr>
        <w:t>I/. ĐẶC ĐIỂM HOẠT ĐỘNG CỦA DOANH NGHIỆP:</w:t>
      </w:r>
    </w:p>
    <w:p w:rsidR="003439CE" w:rsidRPr="00F33B16" w:rsidRDefault="003439CE" w:rsidP="00F33B16">
      <w:pPr>
        <w:spacing w:before="120" w:after="120"/>
        <w:jc w:val="both"/>
        <w:rPr>
          <w:rFonts w:ascii="Times New Roman" w:hAnsi="Times New Roman"/>
          <w:i/>
          <w:iCs/>
          <w:sz w:val="24"/>
          <w:szCs w:val="24"/>
        </w:rPr>
      </w:pPr>
      <w:r w:rsidRPr="00F33B16">
        <w:rPr>
          <w:rFonts w:ascii="Times New Roman" w:hAnsi="Times New Roman"/>
          <w:b w:val="0"/>
          <w:bCs/>
          <w:sz w:val="24"/>
          <w:szCs w:val="24"/>
        </w:rPr>
        <w:t xml:space="preserve">   </w:t>
      </w:r>
      <w:r w:rsidRPr="00F33B16">
        <w:rPr>
          <w:rFonts w:ascii="Times New Roman" w:hAnsi="Times New Roman"/>
          <w:i/>
          <w:iCs/>
          <w:sz w:val="24"/>
          <w:szCs w:val="24"/>
        </w:rPr>
        <w:t xml:space="preserve">1- Hình thức sở hữu vốn: </w:t>
      </w:r>
    </w:p>
    <w:p w:rsidR="003439CE" w:rsidRPr="00470685" w:rsidRDefault="003439CE" w:rsidP="00470685">
      <w:pPr>
        <w:spacing w:before="120" w:after="120"/>
        <w:ind w:firstLine="480"/>
        <w:jc w:val="both"/>
        <w:rPr>
          <w:rFonts w:ascii="Times New Roman" w:hAnsi="Times New Roman"/>
          <w:b w:val="0"/>
          <w:bCs/>
          <w:sz w:val="24"/>
          <w:szCs w:val="24"/>
        </w:rPr>
      </w:pPr>
      <w:r w:rsidRPr="00470685">
        <w:rPr>
          <w:rFonts w:ascii="Times New Roman" w:hAnsi="Times New Roman"/>
          <w:b w:val="0"/>
          <w:bCs/>
          <w:sz w:val="24"/>
          <w:szCs w:val="24"/>
        </w:rPr>
        <w:t>Công ty Cao su Chư Sê là một doanh nghiệp nhà nước được thành lập theo Quyết định số 155 NN-TCCB-QĐ ngày 04 tháng 03 năm 1993 của Bộ Nông nghiệp và Công nghiệp Thực phẩm ( Naylà Bộ Nông nghiệp và Phát triển Nông thôn). Ngày 04/05/2010 theo Quyết định số 113/QĐ-HĐQTCSVN của Hội đồng Quản trị Tập đoàn Công nghiệp Cao su Việt Nam đã phê duyệt phương án chuyển đổi Công ty Cao su Chư Sê thành Công ty TNHH một thành viên;</w:t>
      </w:r>
    </w:p>
    <w:p w:rsidR="003439CE" w:rsidRPr="00470685" w:rsidRDefault="003439CE" w:rsidP="00470685">
      <w:pPr>
        <w:tabs>
          <w:tab w:val="left" w:pos="480"/>
        </w:tabs>
        <w:spacing w:before="120" w:after="120"/>
        <w:jc w:val="both"/>
        <w:rPr>
          <w:rFonts w:ascii="Times New Roman" w:hAnsi="Times New Roman"/>
          <w:b w:val="0"/>
          <w:bCs/>
          <w:sz w:val="24"/>
          <w:szCs w:val="24"/>
        </w:rPr>
      </w:pPr>
      <w:r w:rsidRPr="00470685">
        <w:rPr>
          <w:rFonts w:ascii="Times New Roman" w:hAnsi="Times New Roman"/>
          <w:b w:val="0"/>
          <w:bCs/>
          <w:sz w:val="24"/>
          <w:szCs w:val="24"/>
        </w:rPr>
        <w:tab/>
        <w:t>Theo Quyết định số 439/QĐ-HĐTVCSVN ngày 19/11/2018 của Hội đồng Thành viên Tập đoàn Công nghiệp Cao su Việt Nam về việc phê duyệt vốn điều lệ năm cho công ty, vốn điều lệ của Công ty hiện nay là: 1.457.728.529.898 đồng. Vốn chủ sở hữu của đơn vị tại thời điểm 31/12/202</w:t>
      </w:r>
      <w:r w:rsidR="007609F2">
        <w:rPr>
          <w:rFonts w:ascii="Times New Roman" w:hAnsi="Times New Roman"/>
          <w:b w:val="0"/>
          <w:bCs/>
          <w:sz w:val="24"/>
          <w:szCs w:val="24"/>
        </w:rPr>
        <w:t>1</w:t>
      </w:r>
      <w:r w:rsidRPr="00470685">
        <w:rPr>
          <w:rFonts w:ascii="Times New Roman" w:hAnsi="Times New Roman"/>
          <w:b w:val="0"/>
          <w:bCs/>
          <w:sz w:val="24"/>
          <w:szCs w:val="24"/>
        </w:rPr>
        <w:t xml:space="preserve"> hiện là 1.46</w:t>
      </w:r>
      <w:r w:rsidR="007609F2">
        <w:rPr>
          <w:rFonts w:ascii="Times New Roman" w:hAnsi="Times New Roman"/>
          <w:b w:val="0"/>
          <w:bCs/>
          <w:sz w:val="24"/>
          <w:szCs w:val="24"/>
        </w:rPr>
        <w:t>5</w:t>
      </w:r>
      <w:r w:rsidRPr="00470685">
        <w:rPr>
          <w:rFonts w:ascii="Times New Roman" w:hAnsi="Times New Roman"/>
          <w:b w:val="0"/>
          <w:bCs/>
          <w:sz w:val="24"/>
          <w:szCs w:val="24"/>
        </w:rPr>
        <w:t>.</w:t>
      </w:r>
      <w:r w:rsidR="007609F2">
        <w:rPr>
          <w:rFonts w:ascii="Times New Roman" w:hAnsi="Times New Roman"/>
          <w:b w:val="0"/>
          <w:bCs/>
          <w:sz w:val="24"/>
          <w:szCs w:val="24"/>
        </w:rPr>
        <w:t>152.347.895</w:t>
      </w:r>
      <w:r w:rsidRPr="00470685">
        <w:rPr>
          <w:rFonts w:ascii="Times New Roman" w:hAnsi="Times New Roman"/>
          <w:b w:val="0"/>
          <w:bCs/>
          <w:sz w:val="24"/>
          <w:szCs w:val="24"/>
        </w:rPr>
        <w:t xml:space="preserve"> đồng chênh lệch </w:t>
      </w:r>
      <w:r w:rsidR="007609F2">
        <w:rPr>
          <w:rFonts w:ascii="Times New Roman" w:hAnsi="Times New Roman"/>
          <w:b w:val="0"/>
          <w:bCs/>
          <w:sz w:val="24"/>
          <w:szCs w:val="24"/>
        </w:rPr>
        <w:t>7.423.817.997</w:t>
      </w:r>
      <w:r w:rsidRPr="00470685">
        <w:rPr>
          <w:rFonts w:ascii="Times New Roman" w:hAnsi="Times New Roman"/>
          <w:b w:val="0"/>
          <w:bCs/>
          <w:sz w:val="24"/>
          <w:szCs w:val="24"/>
        </w:rPr>
        <w:t xml:space="preserve"> đồng so với vốn điều lệ hiện nay do đơn vị chỉ tạm trích Quỹ khen thưởng, Quỹ phúc lợi, Quỹ thưởng người quản lý doanh nghiệp bằng 60% mức được trích theo quy định, Sau khi được cơ quan chủ sở hữu phê duyệt chính thức kết quả giám sát, đánh giỏ hiệu quả hoạt động của doanh nghiệp và Báo cáo tài chính năm 202</w:t>
      </w:r>
      <w:r w:rsidR="007609F2">
        <w:rPr>
          <w:rFonts w:ascii="Times New Roman" w:hAnsi="Times New Roman"/>
          <w:b w:val="0"/>
          <w:bCs/>
          <w:sz w:val="24"/>
          <w:szCs w:val="24"/>
        </w:rPr>
        <w:t>1</w:t>
      </w:r>
      <w:r w:rsidRPr="00470685">
        <w:rPr>
          <w:rFonts w:ascii="Times New Roman" w:hAnsi="Times New Roman"/>
          <w:b w:val="0"/>
          <w:bCs/>
          <w:sz w:val="24"/>
          <w:szCs w:val="24"/>
        </w:rPr>
        <w:t xml:space="preserve"> của đơn vị, số chênh lệch trên sẽ được trích bổ sung theo quy định.</w:t>
      </w:r>
    </w:p>
    <w:p w:rsidR="003439CE" w:rsidRPr="00470685" w:rsidRDefault="003439CE" w:rsidP="00470685">
      <w:pPr>
        <w:tabs>
          <w:tab w:val="left" w:pos="480"/>
        </w:tabs>
        <w:spacing w:before="120" w:after="120"/>
        <w:jc w:val="both"/>
        <w:rPr>
          <w:rFonts w:ascii="Times New Roman" w:hAnsi="Times New Roman"/>
          <w:b w:val="0"/>
          <w:bCs/>
          <w:sz w:val="24"/>
          <w:szCs w:val="24"/>
        </w:rPr>
      </w:pPr>
      <w:r w:rsidRPr="00470685">
        <w:rPr>
          <w:rFonts w:ascii="Times New Roman" w:hAnsi="Times New Roman"/>
          <w:b w:val="0"/>
          <w:bCs/>
          <w:sz w:val="24"/>
          <w:szCs w:val="24"/>
        </w:rPr>
        <w:tab/>
        <w:t>Trụ sở chính của Công ty đặt tại: 420 Hùng Vương, Thị trấn Chư Sê, Tỉnh Gia Lai.</w:t>
      </w:r>
    </w:p>
    <w:p w:rsidR="003439CE" w:rsidRPr="0075535E" w:rsidRDefault="003439CE" w:rsidP="00F33B16">
      <w:pPr>
        <w:spacing w:before="120" w:after="120"/>
        <w:jc w:val="both"/>
        <w:rPr>
          <w:rFonts w:ascii="Times New Roman" w:hAnsi="Times New Roman"/>
          <w:i/>
          <w:iCs/>
          <w:sz w:val="24"/>
          <w:szCs w:val="24"/>
        </w:rPr>
      </w:pPr>
      <w:r w:rsidRPr="0075535E">
        <w:rPr>
          <w:rFonts w:ascii="Times New Roman" w:hAnsi="Times New Roman"/>
          <w:i/>
          <w:iCs/>
          <w:sz w:val="24"/>
          <w:szCs w:val="24"/>
        </w:rPr>
        <w:t xml:space="preserve">   2- Lĩnh vực kinh doanh:</w:t>
      </w:r>
    </w:p>
    <w:p w:rsidR="003439CE" w:rsidRPr="0075535E" w:rsidRDefault="003439CE" w:rsidP="00F33B16">
      <w:pPr>
        <w:pStyle w:val="BodyText"/>
        <w:tabs>
          <w:tab w:val="clear" w:pos="384"/>
        </w:tabs>
        <w:spacing w:before="120" w:after="120"/>
        <w:rPr>
          <w:rFonts w:ascii="Times New Roman" w:hAnsi="Times New Roman"/>
          <w:szCs w:val="24"/>
        </w:rPr>
      </w:pPr>
      <w:r w:rsidRPr="0075535E">
        <w:rPr>
          <w:rFonts w:ascii="Times New Roman" w:hAnsi="Times New Roman"/>
          <w:szCs w:val="24"/>
        </w:rPr>
        <w:t xml:space="preserve">        Lĩnh vực hoạt động kinh doanh của Công ty là: Trồng trọt, khai thác và kinh doanh cao su.</w:t>
      </w:r>
    </w:p>
    <w:p w:rsidR="003439CE" w:rsidRPr="0075535E" w:rsidRDefault="003439CE" w:rsidP="00F33B16">
      <w:pPr>
        <w:spacing w:before="120" w:after="120"/>
        <w:jc w:val="both"/>
        <w:rPr>
          <w:rFonts w:ascii="Times New Roman" w:hAnsi="Times New Roman"/>
          <w:b w:val="0"/>
          <w:bCs/>
          <w:sz w:val="24"/>
          <w:szCs w:val="24"/>
        </w:rPr>
      </w:pPr>
      <w:r w:rsidRPr="0075535E">
        <w:rPr>
          <w:rFonts w:ascii="Times New Roman" w:hAnsi="Times New Roman"/>
          <w:i/>
          <w:iCs/>
          <w:sz w:val="24"/>
          <w:szCs w:val="24"/>
        </w:rPr>
        <w:t xml:space="preserve">   3- Ngành nghề kinh doanh:</w:t>
      </w:r>
      <w:r w:rsidRPr="0075535E">
        <w:rPr>
          <w:rFonts w:ascii="Times New Roman" w:hAnsi="Times New Roman"/>
          <w:b w:val="0"/>
          <w:bCs/>
          <w:sz w:val="24"/>
          <w:szCs w:val="24"/>
        </w:rPr>
        <w:t xml:space="preserve"> </w:t>
      </w:r>
    </w:p>
    <w:p w:rsidR="003439CE" w:rsidRPr="00470685" w:rsidRDefault="003439CE" w:rsidP="00470685">
      <w:pPr>
        <w:spacing w:before="120" w:after="120"/>
        <w:jc w:val="both"/>
        <w:rPr>
          <w:rFonts w:ascii="Times New Roman" w:hAnsi="Times New Roman"/>
          <w:b w:val="0"/>
          <w:bCs/>
          <w:sz w:val="24"/>
          <w:szCs w:val="24"/>
        </w:rPr>
      </w:pPr>
      <w:r w:rsidRPr="00470685">
        <w:rPr>
          <w:rFonts w:ascii="Times New Roman" w:hAnsi="Times New Roman"/>
          <w:b w:val="0"/>
          <w:bCs/>
          <w:sz w:val="24"/>
          <w:szCs w:val="24"/>
        </w:rPr>
        <w:t xml:space="preserve">        Theo Giấy đăng ký kinh doanh số 106393 ngày 20 tháng 03 năm 1993, giấy phép đăng ký kinh doanh thay đổi lần thứ 15  số 5900190497 ngày 11/01/2019 thì lĩnh vực hoạt động kinh doanh của Công ty là:</w:t>
      </w:r>
    </w:p>
    <w:p w:rsidR="003439CE" w:rsidRPr="00470685" w:rsidRDefault="003439CE"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Trồng cây cao su</w:t>
      </w:r>
    </w:p>
    <w:p w:rsidR="003439CE" w:rsidRPr="00470685" w:rsidRDefault="003439CE"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Sản xuất phân bón và hợp chất nitơ</w:t>
      </w:r>
    </w:p>
    <w:p w:rsidR="003439CE" w:rsidRPr="00470685" w:rsidRDefault="003439CE"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Sản xuất sản phẩm khác từ cao su, chi tiết: sản xuất mủ cốm</w:t>
      </w:r>
    </w:p>
    <w:p w:rsidR="003439CE" w:rsidRPr="00470685" w:rsidRDefault="003439CE"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Bán buôn chuyên kinh doanh khác chưa được phân vào đâu, cho tiết: mua bán mủ cao su (mủ cốm. Thương nghiệp buôn bán</w:t>
      </w:r>
    </w:p>
    <w:p w:rsidR="003439CE" w:rsidRPr="00470685" w:rsidRDefault="003439CE" w:rsidP="00470685">
      <w:pPr>
        <w:spacing w:before="120" w:after="120"/>
        <w:ind w:left="360" w:firstLine="120"/>
        <w:jc w:val="both"/>
        <w:rPr>
          <w:rFonts w:ascii="Times New Roman" w:hAnsi="Times New Roman"/>
          <w:b w:val="0"/>
          <w:bCs/>
          <w:sz w:val="24"/>
          <w:szCs w:val="24"/>
          <w:lang w:val="fr-FR"/>
        </w:rPr>
      </w:pPr>
      <w:r w:rsidRPr="00470685">
        <w:rPr>
          <w:rFonts w:ascii="Times New Roman" w:hAnsi="Times New Roman"/>
          <w:b w:val="0"/>
          <w:bCs/>
          <w:sz w:val="24"/>
          <w:szCs w:val="24"/>
          <w:lang w:val="fr-FR"/>
        </w:rPr>
        <w:t xml:space="preserve">+ Chuẩn bị mặt bằng, chi tiết : Khai hoang xây dựng vườn cây </w:t>
      </w:r>
    </w:p>
    <w:p w:rsidR="003439CE" w:rsidRPr="00470685" w:rsidRDefault="003439CE"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Bán buôn nông, lâm sản nguyên liệu (trừ gỗ, tre, nứa) và động vật sống, chi tiết: mua bán nông sản</w:t>
      </w:r>
    </w:p>
    <w:p w:rsidR="003439CE" w:rsidRPr="00470685" w:rsidRDefault="003439CE"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Xây dựng các công trình kiến trúc dân dụng khác, chi tiết: Xây lắp các công trình kiến trúc dân dụng, công nghiệp và giao thông</w:t>
      </w:r>
    </w:p>
    <w:p w:rsidR="003439CE" w:rsidRPr="00470685" w:rsidRDefault="003439CE"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Sản xuất, truyền tải và phân phối điện, chi tiết: Đầu tư xây dựng quản lý, khai thác và kinh doanh công trình thuỷ điện.</w:t>
      </w:r>
    </w:p>
    <w:p w:rsidR="003439CE" w:rsidRPr="00470685" w:rsidRDefault="003439CE"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Sản xuất sản phẩm khác từ gỗ; sản xuất sản phẩm từ tre, nứa, rơm, rạ và vật liệu tết bện. Chi tiết: chế biến và sản xuất các sản phẩm từ gỗ cao su, gỗ rừng trồng và gỗ có nguồn gốc hợp pháp.</w:t>
      </w:r>
    </w:p>
    <w:p w:rsidR="003439CE" w:rsidRPr="0075535E" w:rsidRDefault="003439CE" w:rsidP="00470685">
      <w:pPr>
        <w:spacing w:before="120" w:after="120"/>
        <w:ind w:left="360" w:firstLine="120"/>
        <w:jc w:val="both"/>
        <w:rPr>
          <w:rFonts w:ascii="Times New Roman" w:hAnsi="Times New Roman"/>
          <w:b w:val="0"/>
          <w:bCs/>
          <w:sz w:val="24"/>
          <w:szCs w:val="24"/>
        </w:rPr>
      </w:pPr>
      <w:r w:rsidRPr="0075535E">
        <w:rPr>
          <w:rFonts w:ascii="Times New Roman" w:hAnsi="Times New Roman"/>
          <w:b w:val="0"/>
          <w:bCs/>
          <w:sz w:val="24"/>
          <w:szCs w:val="24"/>
        </w:rPr>
        <w:t>+ Khai thác và thu gom than mùn.</w:t>
      </w:r>
    </w:p>
    <w:p w:rsidR="003439CE" w:rsidRPr="0075535E" w:rsidRDefault="003439CE" w:rsidP="00C748D9">
      <w:pPr>
        <w:spacing w:before="120" w:after="120"/>
        <w:ind w:left="360" w:firstLine="120"/>
        <w:jc w:val="both"/>
        <w:rPr>
          <w:rFonts w:ascii="Times New Roman" w:hAnsi="Times New Roman"/>
          <w:b w:val="0"/>
          <w:bCs/>
          <w:sz w:val="24"/>
          <w:szCs w:val="24"/>
        </w:rPr>
      </w:pPr>
      <w:r w:rsidRPr="0075535E">
        <w:rPr>
          <w:rFonts w:ascii="Times New Roman" w:hAnsi="Times New Roman"/>
          <w:b w:val="0"/>
          <w:bCs/>
          <w:sz w:val="24"/>
          <w:szCs w:val="24"/>
        </w:rPr>
        <w:t>+ Vận tải hàng hóa bằng đường bộ.</w:t>
      </w:r>
    </w:p>
    <w:p w:rsidR="003439CE" w:rsidRPr="0075535E" w:rsidRDefault="003439CE" w:rsidP="009B7E5B">
      <w:pPr>
        <w:spacing w:before="120" w:after="120"/>
        <w:jc w:val="both"/>
        <w:rPr>
          <w:rFonts w:ascii="Times New Roman" w:hAnsi="Times New Roman"/>
          <w:bCs/>
          <w:sz w:val="24"/>
          <w:szCs w:val="24"/>
        </w:rPr>
      </w:pPr>
      <w:r w:rsidRPr="0075535E">
        <w:rPr>
          <w:rFonts w:ascii="Times New Roman" w:hAnsi="Times New Roman"/>
          <w:b w:val="0"/>
          <w:bCs/>
          <w:sz w:val="24"/>
          <w:szCs w:val="24"/>
        </w:rPr>
        <w:t xml:space="preserve">    </w:t>
      </w:r>
      <w:r w:rsidRPr="0075535E">
        <w:rPr>
          <w:rFonts w:ascii="Times New Roman" w:hAnsi="Times New Roman"/>
          <w:bCs/>
          <w:sz w:val="24"/>
          <w:szCs w:val="24"/>
        </w:rPr>
        <w:t>4-Chu kỳ sản xuất, kinh doanh thông thường:</w:t>
      </w:r>
    </w:p>
    <w:p w:rsidR="003439CE" w:rsidRPr="009B7E5B" w:rsidRDefault="003439CE" w:rsidP="009B7E5B">
      <w:pPr>
        <w:spacing w:before="120" w:after="120"/>
        <w:jc w:val="both"/>
        <w:rPr>
          <w:rFonts w:ascii="Times New Roman" w:hAnsi="Times New Roman"/>
          <w:bCs/>
          <w:sz w:val="24"/>
          <w:szCs w:val="24"/>
        </w:rPr>
      </w:pPr>
      <w:r w:rsidRPr="009B7E5B">
        <w:rPr>
          <w:rFonts w:ascii="Times New Roman" w:hAnsi="Times New Roman"/>
          <w:b w:val="0"/>
          <w:bCs/>
          <w:sz w:val="24"/>
          <w:szCs w:val="24"/>
        </w:rPr>
        <w:lastRenderedPageBreak/>
        <w:t xml:space="preserve">    </w:t>
      </w:r>
      <w:r w:rsidRPr="009B7E5B">
        <w:rPr>
          <w:rFonts w:ascii="Times New Roman" w:hAnsi="Times New Roman"/>
          <w:bCs/>
          <w:sz w:val="24"/>
          <w:szCs w:val="24"/>
        </w:rPr>
        <w:t>5-Đặc điểm hoạt động của doanh nghiệp trong năm tài chính có ảnh hưởng đến BCTC:</w:t>
      </w:r>
    </w:p>
    <w:p w:rsidR="003439CE" w:rsidRPr="009B7E5B" w:rsidRDefault="003439CE" w:rsidP="009B7E5B">
      <w:pPr>
        <w:spacing w:before="120" w:after="120"/>
        <w:jc w:val="both"/>
        <w:rPr>
          <w:rFonts w:ascii="Times New Roman" w:hAnsi="Times New Roman"/>
          <w:bCs/>
          <w:sz w:val="24"/>
          <w:szCs w:val="24"/>
        </w:rPr>
      </w:pPr>
      <w:r w:rsidRPr="009B7E5B">
        <w:rPr>
          <w:rFonts w:ascii="Times New Roman" w:hAnsi="Times New Roman"/>
          <w:bCs/>
          <w:sz w:val="24"/>
          <w:szCs w:val="24"/>
        </w:rPr>
        <w:t xml:space="preserve">    6-Cấu trúc doanh nghiệp:</w:t>
      </w:r>
    </w:p>
    <w:p w:rsidR="003439CE" w:rsidRPr="009B7E5B" w:rsidRDefault="003439CE" w:rsidP="009B7E5B">
      <w:pPr>
        <w:spacing w:before="120" w:after="120"/>
        <w:jc w:val="both"/>
        <w:rPr>
          <w:rFonts w:ascii="Times New Roman" w:hAnsi="Times New Roman"/>
          <w:bCs/>
          <w:sz w:val="24"/>
          <w:szCs w:val="24"/>
        </w:rPr>
      </w:pPr>
      <w:r w:rsidRPr="009B7E5B">
        <w:rPr>
          <w:rFonts w:ascii="Times New Roman" w:hAnsi="Times New Roman"/>
          <w:b w:val="0"/>
          <w:bCs/>
          <w:sz w:val="24"/>
          <w:szCs w:val="24"/>
        </w:rPr>
        <w:t xml:space="preserve">    </w:t>
      </w:r>
      <w:r w:rsidRPr="009B7E5B">
        <w:rPr>
          <w:rFonts w:ascii="Times New Roman" w:hAnsi="Times New Roman"/>
          <w:bCs/>
          <w:sz w:val="24"/>
          <w:szCs w:val="24"/>
        </w:rPr>
        <w:t>7-Tuyên bố về khả năng so sánh thông tin trên BCTC:</w:t>
      </w:r>
    </w:p>
    <w:p w:rsidR="003439CE" w:rsidRPr="00F33B16" w:rsidRDefault="003439CE" w:rsidP="009B7E5B">
      <w:pPr>
        <w:spacing w:before="120" w:after="120"/>
        <w:jc w:val="both"/>
        <w:rPr>
          <w:rFonts w:ascii="Times New Roman" w:hAnsi="Times New Roman"/>
          <w:sz w:val="24"/>
          <w:szCs w:val="24"/>
        </w:rPr>
      </w:pPr>
      <w:r w:rsidRPr="00F33B16">
        <w:rPr>
          <w:rFonts w:ascii="Times New Roman" w:hAnsi="Times New Roman"/>
          <w:sz w:val="24"/>
          <w:szCs w:val="24"/>
        </w:rPr>
        <w:t>II/. KỲ KẾ TOÁN, ĐƠN VỊ TIỀN TỆ SỬ DỤNG TRONG KẾ TOÁN:</w:t>
      </w:r>
    </w:p>
    <w:p w:rsidR="003439CE" w:rsidRPr="00F33B16" w:rsidRDefault="003439CE" w:rsidP="00F33B16">
      <w:pPr>
        <w:spacing w:before="120" w:after="120"/>
        <w:jc w:val="both"/>
        <w:rPr>
          <w:rFonts w:ascii="Times New Roman" w:hAnsi="Times New Roman"/>
          <w:b w:val="0"/>
          <w:bCs/>
          <w:sz w:val="24"/>
          <w:szCs w:val="24"/>
        </w:rPr>
      </w:pPr>
      <w:r w:rsidRPr="00F33B16">
        <w:rPr>
          <w:rFonts w:ascii="Times New Roman" w:hAnsi="Times New Roman"/>
          <w:b w:val="0"/>
          <w:bCs/>
          <w:sz w:val="24"/>
          <w:szCs w:val="24"/>
        </w:rPr>
        <w:t xml:space="preserve">   1- Kỳ kế toán của Công ty (bắt đầu từ ngày 01/01 kết thúc vào ngày 31/12 hàng năm ).</w:t>
      </w:r>
    </w:p>
    <w:p w:rsidR="003439CE" w:rsidRPr="00F33B16" w:rsidRDefault="003439CE" w:rsidP="00F33B16">
      <w:pPr>
        <w:spacing w:before="120" w:after="120"/>
        <w:jc w:val="both"/>
        <w:rPr>
          <w:rFonts w:ascii="Times New Roman" w:hAnsi="Times New Roman"/>
          <w:b w:val="0"/>
          <w:bCs/>
          <w:sz w:val="24"/>
          <w:szCs w:val="24"/>
        </w:rPr>
      </w:pPr>
      <w:r w:rsidRPr="00F33B16">
        <w:rPr>
          <w:rFonts w:ascii="Times New Roman" w:hAnsi="Times New Roman"/>
          <w:b w:val="0"/>
          <w:bCs/>
          <w:sz w:val="24"/>
          <w:szCs w:val="24"/>
        </w:rPr>
        <w:t xml:space="preserve">   2- Đơn vị tiền tệ sử dụng trong ghi chép kế toán là: Đồng Việt Nam (VNĐ)</w:t>
      </w:r>
    </w:p>
    <w:p w:rsidR="003439CE" w:rsidRPr="00F33B16" w:rsidRDefault="003439CE" w:rsidP="00F33B16">
      <w:pPr>
        <w:spacing w:before="120" w:after="120"/>
        <w:jc w:val="both"/>
        <w:rPr>
          <w:rFonts w:ascii="Times New Roman" w:hAnsi="Times New Roman"/>
          <w:sz w:val="24"/>
          <w:szCs w:val="24"/>
        </w:rPr>
      </w:pPr>
      <w:r w:rsidRPr="00F33B16">
        <w:rPr>
          <w:rFonts w:ascii="Times New Roman" w:hAnsi="Times New Roman"/>
          <w:sz w:val="24"/>
          <w:szCs w:val="24"/>
        </w:rPr>
        <w:t>III/. CHUẨN MỰC VÀ CHẾ ĐỘ KẾ TOÁN ÁP DỤNG:</w:t>
      </w:r>
    </w:p>
    <w:p w:rsidR="003439CE" w:rsidRPr="00F33B16" w:rsidRDefault="003439CE" w:rsidP="00F33B16">
      <w:pPr>
        <w:spacing w:before="120" w:after="120"/>
        <w:jc w:val="both"/>
        <w:rPr>
          <w:rFonts w:ascii="Times New Roman" w:hAnsi="Times New Roman"/>
          <w:i/>
          <w:iCs/>
          <w:sz w:val="24"/>
          <w:szCs w:val="24"/>
        </w:rPr>
      </w:pPr>
      <w:r w:rsidRPr="00F33B16">
        <w:rPr>
          <w:rFonts w:ascii="Times New Roman" w:hAnsi="Times New Roman"/>
          <w:b w:val="0"/>
          <w:bCs/>
          <w:sz w:val="24"/>
          <w:szCs w:val="24"/>
        </w:rPr>
        <w:t xml:space="preserve">   1</w:t>
      </w:r>
      <w:r w:rsidRPr="00F33B16">
        <w:rPr>
          <w:rFonts w:ascii="Times New Roman" w:hAnsi="Times New Roman"/>
          <w:i/>
          <w:iCs/>
          <w:sz w:val="24"/>
          <w:szCs w:val="24"/>
        </w:rPr>
        <w:t>- Chế độ kế toán áp dụng:</w:t>
      </w:r>
    </w:p>
    <w:p w:rsidR="003439CE" w:rsidRPr="00470685" w:rsidRDefault="003439CE" w:rsidP="00470685">
      <w:pPr>
        <w:spacing w:before="120" w:after="120" w:line="276" w:lineRule="auto"/>
        <w:ind w:right="-24"/>
        <w:jc w:val="both"/>
        <w:rPr>
          <w:rFonts w:ascii="Times New Roman" w:hAnsi="Times New Roman"/>
          <w:b w:val="0"/>
          <w:bCs/>
          <w:sz w:val="24"/>
          <w:szCs w:val="24"/>
        </w:rPr>
      </w:pPr>
      <w:r w:rsidRPr="00470685">
        <w:rPr>
          <w:rFonts w:ascii="Times New Roman" w:hAnsi="Times New Roman"/>
          <w:b w:val="0"/>
          <w:bCs/>
          <w:sz w:val="24"/>
          <w:szCs w:val="24"/>
        </w:rPr>
        <w:t xml:space="preserve">      Công ty áp dụng chế độ kế toán Việt Nam ban hành theo Thông tư số 200/2014/TT-BTC ngày 22/12/2014 của Bộ Tài Chính hướng dẫn chế độ kế toán doanh nghiệp mới thay thế cho Quyết định số 15/2006/QĐ-BTC, các chuẩn mực kế toán Việt Nam do Bộ Tài Chính ban hành và các văn bản sửa đổi, bổ sung, hướng dẫn thực hiện kèm theo.</w:t>
      </w:r>
    </w:p>
    <w:p w:rsidR="003439CE" w:rsidRPr="00F33B16" w:rsidRDefault="003439CE" w:rsidP="00F33B16">
      <w:pPr>
        <w:spacing w:before="120" w:after="120" w:line="276" w:lineRule="auto"/>
        <w:jc w:val="both"/>
        <w:rPr>
          <w:rFonts w:ascii="Times New Roman" w:hAnsi="Times New Roman"/>
          <w:b w:val="0"/>
          <w:bCs/>
          <w:sz w:val="24"/>
          <w:szCs w:val="24"/>
        </w:rPr>
      </w:pPr>
      <w:r w:rsidRPr="00F33B16">
        <w:rPr>
          <w:rFonts w:ascii="Times New Roman" w:hAnsi="Times New Roman"/>
          <w:sz w:val="24"/>
          <w:szCs w:val="24"/>
        </w:rPr>
        <w:t xml:space="preserve">    2- Tuyên bố về việc tuân thủ Chuẩn mực kế toán và Chế độ kế toán Việt Nam: </w:t>
      </w:r>
      <w:r w:rsidRPr="00F33B16">
        <w:rPr>
          <w:rFonts w:ascii="Times New Roman" w:hAnsi="Times New Roman"/>
          <w:b w:val="0"/>
          <w:bCs/>
          <w:sz w:val="24"/>
          <w:szCs w:val="24"/>
        </w:rPr>
        <w:t>Công ty áp dụng các chuẩn mực kế toán Việt Nam và các văn bản hướng dẫn chuẩn mực do nhà nước đã ban hành. Các báo cáo tài chính được lập và trình bày theo đúng qui định của từng chuẩn mực, thông tư hướng dẫn thực hiện chuẩn mực và chế độ kế toán hiện hành đang áp dụng.</w:t>
      </w:r>
    </w:p>
    <w:p w:rsidR="003439CE" w:rsidRPr="0075535E" w:rsidRDefault="003439CE" w:rsidP="00470685">
      <w:pPr>
        <w:spacing w:before="120" w:after="120" w:line="276" w:lineRule="auto"/>
        <w:jc w:val="both"/>
        <w:rPr>
          <w:rFonts w:ascii="Times New Roman" w:hAnsi="Times New Roman"/>
          <w:b w:val="0"/>
          <w:bCs/>
          <w:sz w:val="24"/>
          <w:szCs w:val="24"/>
        </w:rPr>
      </w:pPr>
      <w:r w:rsidRPr="0075535E">
        <w:rPr>
          <w:rFonts w:ascii="Times New Roman" w:hAnsi="Times New Roman"/>
          <w:b w:val="0"/>
          <w:bCs/>
          <w:sz w:val="24"/>
          <w:szCs w:val="24"/>
        </w:rPr>
        <w:t xml:space="preserve">   3</w:t>
      </w:r>
      <w:r w:rsidRPr="0075535E">
        <w:rPr>
          <w:rFonts w:ascii="Times New Roman" w:hAnsi="Times New Roman"/>
          <w:i/>
          <w:iCs/>
          <w:sz w:val="24"/>
          <w:szCs w:val="24"/>
        </w:rPr>
        <w:t>- Hình th</w:t>
      </w:r>
      <w:r w:rsidRPr="0075535E">
        <w:rPr>
          <w:rFonts w:ascii="Times New Roman" w:hAnsi="Times New Roman"/>
          <w:i/>
          <w:iCs/>
          <w:sz w:val="24"/>
          <w:szCs w:val="24"/>
          <w:lang w:val="vi-VN"/>
        </w:rPr>
        <w:t>ức kế toán áp dụng</w:t>
      </w:r>
      <w:r w:rsidRPr="0075535E">
        <w:rPr>
          <w:rFonts w:ascii="Times New Roman" w:hAnsi="Times New Roman"/>
          <w:b w:val="0"/>
          <w:bCs/>
          <w:sz w:val="24"/>
          <w:szCs w:val="24"/>
        </w:rPr>
        <w:t>: Công ty áp dụng hình thức sổ kế toán nhật ký chung.</w:t>
      </w:r>
    </w:p>
    <w:p w:rsidR="003439CE" w:rsidRPr="00F33B16" w:rsidRDefault="003439CE" w:rsidP="00F33B16">
      <w:pPr>
        <w:spacing w:before="120" w:after="120" w:line="276" w:lineRule="auto"/>
        <w:jc w:val="both"/>
        <w:rPr>
          <w:rFonts w:ascii="Times New Roman" w:hAnsi="Times New Roman"/>
          <w:sz w:val="24"/>
          <w:szCs w:val="24"/>
        </w:rPr>
      </w:pPr>
      <w:r w:rsidRPr="00F33B16">
        <w:rPr>
          <w:rFonts w:ascii="Times New Roman" w:hAnsi="Times New Roman"/>
          <w:sz w:val="24"/>
          <w:szCs w:val="24"/>
        </w:rPr>
        <w:t>IV/.  CÁC CHÍNH SÁCH KẾ TOÁN ÁP DỤNG:</w:t>
      </w:r>
    </w:p>
    <w:p w:rsidR="003439CE" w:rsidRPr="0075535E" w:rsidRDefault="003439CE"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1-Nguyên tắc chuyển đổi BCTC lập bằng ngoại tệ sang Đồng Việt Nam</w:t>
      </w:r>
    </w:p>
    <w:p w:rsidR="003439CE" w:rsidRPr="0075535E" w:rsidRDefault="003439CE"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2-Các loại tỷ giá hối đoái áp dụng trong kế toán</w:t>
      </w:r>
    </w:p>
    <w:p w:rsidR="003439CE" w:rsidRPr="0075535E" w:rsidRDefault="003439CE"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3-Nguyên tắc xác định lãi suất thực tế dùng để chiết khấu dòng tiền</w:t>
      </w:r>
    </w:p>
    <w:p w:rsidR="003439CE" w:rsidRPr="00F33B16" w:rsidRDefault="003439CE" w:rsidP="00F33B16">
      <w:pPr>
        <w:spacing w:before="120" w:after="120" w:line="276" w:lineRule="auto"/>
        <w:jc w:val="both"/>
        <w:rPr>
          <w:rFonts w:ascii="Times New Roman" w:hAnsi="Times New Roman"/>
          <w:sz w:val="24"/>
          <w:szCs w:val="24"/>
        </w:rPr>
      </w:pPr>
      <w:r w:rsidRPr="00F33B16">
        <w:rPr>
          <w:rFonts w:ascii="Times New Roman" w:hAnsi="Times New Roman"/>
          <w:sz w:val="24"/>
          <w:szCs w:val="24"/>
        </w:rPr>
        <w:t xml:space="preserve">      4- Nguyên tắc xác định các khoản tiền và các khoản tương đương tiền:</w:t>
      </w:r>
    </w:p>
    <w:p w:rsidR="003439CE" w:rsidRPr="0075535E" w:rsidRDefault="003439CE" w:rsidP="00470685">
      <w:pPr>
        <w:spacing w:before="120" w:after="120" w:line="276" w:lineRule="auto"/>
        <w:ind w:right="-24"/>
        <w:jc w:val="both"/>
        <w:rPr>
          <w:rFonts w:ascii="Times New Roman" w:hAnsi="Times New Roman"/>
          <w:b w:val="0"/>
          <w:bCs/>
          <w:sz w:val="24"/>
          <w:szCs w:val="24"/>
        </w:rPr>
      </w:pPr>
      <w:r w:rsidRPr="0075535E">
        <w:rPr>
          <w:rFonts w:ascii="Times New Roman" w:hAnsi="Times New Roman"/>
          <w:b w:val="0"/>
          <w:bCs/>
          <w:sz w:val="24"/>
          <w:szCs w:val="24"/>
        </w:rPr>
        <w:t xml:space="preserve">        Các nghiệp vụ kinh tế phát sinh bằng ngoại tệ được quy đổi ra Việt nam đồng theo tỷ giá giao dịch thực tế tại thời điểm phát sinh nghiệp vụ. Tại thời điểm cuối năm các khoản mục tiền tệ có gốc ngoại tệ được quy đổi theo tỷ giá bình quân liên ngân hàng do Ngân hàng Nhà nước Việt Nam công bố vào ngày kết thúc niên độ kế toán.</w:t>
      </w:r>
    </w:p>
    <w:p w:rsidR="003439CE" w:rsidRPr="00470685" w:rsidRDefault="003439CE" w:rsidP="00470685">
      <w:pPr>
        <w:spacing w:before="120" w:after="120" w:line="276" w:lineRule="auto"/>
        <w:ind w:right="-29"/>
        <w:jc w:val="both"/>
        <w:rPr>
          <w:rFonts w:ascii="Times New Roman" w:hAnsi="Times New Roman"/>
          <w:b w:val="0"/>
          <w:bCs/>
          <w:sz w:val="24"/>
          <w:szCs w:val="24"/>
        </w:rPr>
      </w:pPr>
      <w:r w:rsidRPr="00470685">
        <w:rPr>
          <w:rFonts w:ascii="Times New Roman" w:hAnsi="Times New Roman"/>
          <w:b w:val="0"/>
          <w:bCs/>
          <w:sz w:val="24"/>
          <w:szCs w:val="24"/>
        </w:rPr>
        <w:t xml:space="preserve">        Chênh lệch tỷ giá thực tế phát sinh trong kỳ và chênh lệch tỷ giá do đánh giá lại số dư các khoản mục tiền tệ tại thời điểm cuối năm được kết chuyển vào doanh thu hoặc chi phí tài chính trong năm tài chính.</w:t>
      </w:r>
    </w:p>
    <w:p w:rsidR="003439CE" w:rsidRPr="00470685" w:rsidRDefault="003439CE" w:rsidP="00470685">
      <w:pPr>
        <w:spacing w:before="120" w:after="120" w:line="276" w:lineRule="auto"/>
        <w:ind w:right="-24"/>
        <w:jc w:val="both"/>
        <w:rPr>
          <w:rFonts w:ascii="Times New Roman" w:hAnsi="Times New Roman"/>
          <w:b w:val="0"/>
          <w:bCs/>
          <w:sz w:val="24"/>
          <w:szCs w:val="24"/>
        </w:rPr>
      </w:pPr>
      <w:r w:rsidRPr="00470685">
        <w:rPr>
          <w:rFonts w:ascii="Times New Roman" w:hAnsi="Times New Roman"/>
          <w:b w:val="0"/>
          <w:bCs/>
          <w:sz w:val="24"/>
          <w:szCs w:val="24"/>
        </w:rPr>
        <w:t xml:space="preserve">        Các khoản đầu tư ngắn hạn không quá 3 tháng có khả năng chuyển đổi dễ dàng thành tiền và không có nhiều rủi ro trong chuyển đổi thành tiền kể từ ngày mua khoản đầu tư đó tại thời điểm báo cáo.</w:t>
      </w:r>
    </w:p>
    <w:p w:rsidR="003439CE" w:rsidRPr="00470685" w:rsidRDefault="003439CE" w:rsidP="00470685">
      <w:pPr>
        <w:spacing w:before="120" w:after="120" w:line="276" w:lineRule="auto"/>
        <w:ind w:right="-24"/>
        <w:jc w:val="both"/>
        <w:rPr>
          <w:rFonts w:ascii="Times New Roman" w:hAnsi="Times New Roman"/>
          <w:bCs/>
          <w:sz w:val="24"/>
          <w:szCs w:val="24"/>
        </w:rPr>
      </w:pPr>
      <w:r w:rsidRPr="00470685">
        <w:rPr>
          <w:rFonts w:ascii="Times New Roman" w:hAnsi="Times New Roman"/>
          <w:b w:val="0"/>
          <w:bCs/>
          <w:sz w:val="24"/>
          <w:szCs w:val="24"/>
        </w:rPr>
        <w:t xml:space="preserve">     </w:t>
      </w:r>
      <w:r w:rsidRPr="00470685">
        <w:rPr>
          <w:rFonts w:ascii="Times New Roman" w:hAnsi="Times New Roman"/>
          <w:bCs/>
          <w:sz w:val="24"/>
          <w:szCs w:val="24"/>
        </w:rPr>
        <w:t>5-Nguyên tắc kế toán các khoản đầu tư tài chính</w:t>
      </w:r>
    </w:p>
    <w:p w:rsidR="003439CE" w:rsidRPr="00F33B16" w:rsidRDefault="003439CE" w:rsidP="00A60DBF">
      <w:pPr>
        <w:spacing w:before="120" w:after="120" w:line="276" w:lineRule="auto"/>
        <w:ind w:right="-24" w:firstLine="720"/>
        <w:jc w:val="both"/>
        <w:rPr>
          <w:rFonts w:ascii="Times New Roman" w:hAnsi="Times New Roman"/>
          <w:bCs/>
          <w:sz w:val="24"/>
          <w:szCs w:val="24"/>
        </w:rPr>
      </w:pPr>
      <w:r w:rsidRPr="00F33B16">
        <w:rPr>
          <w:rFonts w:ascii="Times New Roman" w:hAnsi="Times New Roman"/>
          <w:b w:val="0"/>
          <w:iCs/>
          <w:sz w:val="24"/>
          <w:szCs w:val="24"/>
        </w:rPr>
        <w:t>Khoản đầu tư vào Công ty con, công ty liên kết được kế toán theo phương pháp giá gốc. Lợi nhuận thuần được chia từ công ty con, công ty liên kết phát sinh sau ngày đầu tư được ghi nhận vào Báo cáo kết quả hoạt động kinh doanh. Các khoản được chia khác (ngoài lợi nhuận thuần) được coi là phần thu hồi các khoản đầu tư và được ghi nhận là khoản giảm trừ giá gốc đầu tư.</w:t>
      </w:r>
    </w:p>
    <w:p w:rsidR="003439CE" w:rsidRPr="00470685" w:rsidRDefault="003439CE" w:rsidP="00470685">
      <w:pPr>
        <w:spacing w:before="120" w:after="120" w:line="276" w:lineRule="auto"/>
        <w:ind w:right="-24"/>
        <w:jc w:val="both"/>
        <w:rPr>
          <w:rFonts w:ascii="Times New Roman" w:hAnsi="Times New Roman"/>
          <w:bCs/>
          <w:sz w:val="24"/>
          <w:szCs w:val="24"/>
        </w:rPr>
      </w:pPr>
      <w:r w:rsidRPr="00470685">
        <w:rPr>
          <w:rFonts w:ascii="Times New Roman" w:hAnsi="Times New Roman"/>
          <w:bCs/>
          <w:sz w:val="24"/>
          <w:szCs w:val="24"/>
        </w:rPr>
        <w:t xml:space="preserve">     6-Nguyên tắc kế toán nợ phải thu</w:t>
      </w:r>
    </w:p>
    <w:p w:rsidR="003439CE" w:rsidRPr="0075535E" w:rsidRDefault="003439CE" w:rsidP="00F33B16">
      <w:pPr>
        <w:pStyle w:val="BodyText"/>
        <w:tabs>
          <w:tab w:val="clear" w:pos="384"/>
        </w:tabs>
        <w:spacing w:before="120" w:after="120" w:line="276" w:lineRule="auto"/>
        <w:rPr>
          <w:rFonts w:ascii="Times New Roman" w:hAnsi="Times New Roman"/>
          <w:szCs w:val="24"/>
        </w:rPr>
      </w:pPr>
      <w:r w:rsidRPr="0075535E">
        <w:rPr>
          <w:rFonts w:ascii="Times New Roman" w:hAnsi="Times New Roman"/>
          <w:szCs w:val="24"/>
        </w:rPr>
        <w:lastRenderedPageBreak/>
        <w:t xml:space="preserve">     </w:t>
      </w:r>
      <w:r w:rsidRPr="0075535E">
        <w:rPr>
          <w:rFonts w:ascii="Times New Roman" w:hAnsi="Times New Roman"/>
          <w:b/>
          <w:szCs w:val="24"/>
        </w:rPr>
        <w:t>7</w:t>
      </w:r>
      <w:r w:rsidRPr="0075535E">
        <w:rPr>
          <w:rFonts w:ascii="Times New Roman" w:hAnsi="Times New Roman"/>
          <w:b/>
          <w:bCs w:val="0"/>
          <w:iCs/>
          <w:szCs w:val="24"/>
        </w:rPr>
        <w:t>- Nguyên tắc ghi nhận hàng tồn kho:</w:t>
      </w:r>
    </w:p>
    <w:p w:rsidR="003439CE" w:rsidRPr="0075535E" w:rsidRDefault="003439CE" w:rsidP="00FA5FE9">
      <w:pPr>
        <w:pStyle w:val="BodyText2"/>
        <w:numPr>
          <w:ilvl w:val="12"/>
          <w:numId w:val="0"/>
        </w:numPr>
        <w:spacing w:after="120" w:line="276" w:lineRule="auto"/>
        <w:rPr>
          <w:rFonts w:ascii="Times New Roman" w:hAnsi="Times New Roman"/>
          <w:sz w:val="24"/>
          <w:szCs w:val="24"/>
          <w:lang w:val="en-GB"/>
        </w:rPr>
      </w:pPr>
      <w:r w:rsidRPr="0075535E">
        <w:rPr>
          <w:rFonts w:ascii="Times New Roman" w:hAnsi="Times New Roman"/>
          <w:sz w:val="24"/>
          <w:szCs w:val="24"/>
          <w:lang w:val="en-GB"/>
        </w:rPr>
        <w:t xml:space="preserve">       Hàng tồn kho được tính theo giá gốc. Trường hợp giá trị thuần có thể thực hiện được thấp hơn giá gốc thì phải tính theo giá trị thuần có thể thực hiện được. Giá gốc hàng tồn kho bao gồm chi phí mua, chi phí chế biến và các chi phí liên quan trực tiếp khác phát sinh để có được hàng tồn kho ở địa điểm và trạng thái hiện tại.</w:t>
      </w:r>
    </w:p>
    <w:p w:rsidR="003439CE" w:rsidRPr="0075535E" w:rsidRDefault="003439CE" w:rsidP="00FA5FE9">
      <w:pPr>
        <w:pStyle w:val="BodyText"/>
        <w:tabs>
          <w:tab w:val="clear" w:pos="384"/>
        </w:tabs>
        <w:spacing w:before="120" w:after="120" w:line="276" w:lineRule="auto"/>
        <w:rPr>
          <w:rFonts w:ascii="Times New Roman" w:hAnsi="Times New Roman"/>
          <w:szCs w:val="24"/>
          <w:lang w:val="en-GB"/>
        </w:rPr>
      </w:pPr>
      <w:r w:rsidRPr="0075535E">
        <w:rPr>
          <w:rFonts w:ascii="Times New Roman" w:hAnsi="Times New Roman"/>
          <w:szCs w:val="24"/>
          <w:lang w:val="en-GB"/>
        </w:rPr>
        <w:t xml:space="preserve">       Giá trị hàng tồn kho được xác định theo phương pháp nhập trước xuất trước.</w:t>
      </w:r>
    </w:p>
    <w:p w:rsidR="003439CE" w:rsidRPr="0075535E" w:rsidRDefault="003439CE" w:rsidP="00FA5FE9">
      <w:pPr>
        <w:pStyle w:val="BodyText"/>
        <w:tabs>
          <w:tab w:val="clear" w:pos="384"/>
        </w:tabs>
        <w:spacing w:before="120" w:after="120" w:line="276" w:lineRule="auto"/>
        <w:rPr>
          <w:rFonts w:ascii="Times New Roman" w:hAnsi="Times New Roman"/>
          <w:szCs w:val="24"/>
          <w:lang w:val="en-GB"/>
        </w:rPr>
      </w:pPr>
      <w:r w:rsidRPr="0075535E">
        <w:rPr>
          <w:rFonts w:ascii="Times New Roman" w:hAnsi="Times New Roman"/>
          <w:szCs w:val="24"/>
          <w:lang w:val="en-GB"/>
        </w:rPr>
        <w:t xml:space="preserve">       Hàng tồn kho được kế toán theo phương pháp kê khai thường xuyên.</w:t>
      </w:r>
    </w:p>
    <w:p w:rsidR="003439CE" w:rsidRPr="0075535E" w:rsidRDefault="003439CE" w:rsidP="005E1C4F">
      <w:pPr>
        <w:pStyle w:val="BodyText2"/>
        <w:numPr>
          <w:ilvl w:val="12"/>
          <w:numId w:val="0"/>
        </w:numPr>
        <w:spacing w:after="120" w:line="276" w:lineRule="auto"/>
        <w:ind w:firstLine="426"/>
        <w:rPr>
          <w:rFonts w:ascii="Times New Roman" w:hAnsi="Times New Roman"/>
          <w:sz w:val="24"/>
          <w:szCs w:val="24"/>
          <w:lang w:val="es-MX"/>
        </w:rPr>
      </w:pPr>
      <w:r w:rsidRPr="0075535E">
        <w:rPr>
          <w:rFonts w:ascii="Times New Roman" w:hAnsi="Times New Roman"/>
          <w:sz w:val="24"/>
          <w:szCs w:val="24"/>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3439CE" w:rsidRPr="0075535E" w:rsidRDefault="003439CE" w:rsidP="00D44D57">
      <w:pPr>
        <w:pStyle w:val="BodyText"/>
        <w:tabs>
          <w:tab w:val="clear" w:pos="384"/>
          <w:tab w:val="left" w:pos="456"/>
        </w:tabs>
        <w:spacing w:before="120" w:after="120" w:line="276" w:lineRule="auto"/>
        <w:rPr>
          <w:rFonts w:ascii="Times New Roman" w:hAnsi="Times New Roman"/>
          <w:b/>
          <w:szCs w:val="24"/>
          <w:lang w:val="es-MX"/>
        </w:rPr>
      </w:pPr>
      <w:r w:rsidRPr="0075535E">
        <w:rPr>
          <w:rFonts w:ascii="Times New Roman" w:hAnsi="Times New Roman"/>
          <w:szCs w:val="24"/>
          <w:lang w:val="es-MX"/>
        </w:rPr>
        <w:t xml:space="preserve">   </w:t>
      </w:r>
      <w:r w:rsidRPr="0075535E">
        <w:rPr>
          <w:rFonts w:ascii="Times New Roman" w:hAnsi="Times New Roman"/>
          <w:b/>
          <w:szCs w:val="24"/>
          <w:lang w:val="es-MX"/>
        </w:rPr>
        <w:t>8- Nguyên tắc ghi nhận và khấu hao TSCĐ, TSCĐ thuê tài chính, bất động sản đầu tư:</w:t>
      </w:r>
    </w:p>
    <w:p w:rsidR="003439CE" w:rsidRPr="0075535E" w:rsidRDefault="003439CE" w:rsidP="00FA5FE9">
      <w:pPr>
        <w:spacing w:before="120" w:after="120" w:line="276" w:lineRule="auto"/>
        <w:ind w:right="-24"/>
        <w:jc w:val="both"/>
        <w:rPr>
          <w:rFonts w:ascii="Times New Roman" w:hAnsi="Times New Roman"/>
          <w:b w:val="0"/>
          <w:bCs/>
          <w:sz w:val="24"/>
          <w:szCs w:val="24"/>
        </w:rPr>
      </w:pPr>
      <w:r w:rsidRPr="0075535E">
        <w:rPr>
          <w:rFonts w:ascii="Times New Roman" w:hAnsi="Times New Roman"/>
          <w:sz w:val="24"/>
          <w:szCs w:val="24"/>
          <w:lang w:val="es-MX"/>
        </w:rPr>
        <w:t xml:space="preserve">       </w:t>
      </w:r>
      <w:r w:rsidRPr="0075535E">
        <w:rPr>
          <w:rFonts w:ascii="Times New Roman" w:hAnsi="Times New Roman"/>
          <w:sz w:val="24"/>
          <w:szCs w:val="24"/>
        </w:rPr>
        <w:t>T</w:t>
      </w:r>
      <w:r w:rsidRPr="0075535E">
        <w:rPr>
          <w:rFonts w:ascii="Times New Roman" w:hAnsi="Times New Roman"/>
          <w:b w:val="0"/>
          <w:bCs/>
          <w:sz w:val="24"/>
          <w:szCs w:val="24"/>
        </w:rPr>
        <w:t>ài sản cố định được ghi nhận theo giá gốc. Trong quá trình sử dụng, tài sản cố định được ghi nhận theo nguyên giá, hao mòn luỹ kế và giá trị còn lại.</w:t>
      </w:r>
    </w:p>
    <w:p w:rsidR="003439CE" w:rsidRPr="00FA5FE9" w:rsidRDefault="003439CE" w:rsidP="00FA5FE9">
      <w:pPr>
        <w:spacing w:before="120" w:after="120" w:line="276"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Khấu hao được trích theo phương pháp đường thẳng. Thời gian khấu hao được ước tính như sau:</w:t>
      </w:r>
    </w:p>
    <w:tbl>
      <w:tblPr>
        <w:tblW w:w="0" w:type="auto"/>
        <w:tblInd w:w="119" w:type="dxa"/>
        <w:tblLook w:val="01E0" w:firstRow="1" w:lastRow="1" w:firstColumn="1" w:lastColumn="1" w:noHBand="0" w:noVBand="0"/>
      </w:tblPr>
      <w:tblGrid>
        <w:gridCol w:w="5760"/>
        <w:gridCol w:w="2367"/>
      </w:tblGrid>
      <w:tr w:rsidR="003439CE" w:rsidRPr="0075535E" w:rsidTr="00BC10F4">
        <w:tc>
          <w:tcPr>
            <w:tcW w:w="5760" w:type="dxa"/>
          </w:tcPr>
          <w:p w:rsidR="003439CE" w:rsidRPr="00FA5FE9" w:rsidRDefault="003439CE" w:rsidP="00FA5FE9">
            <w:pPr>
              <w:numPr>
                <w:ilvl w:val="0"/>
                <w:numId w:val="5"/>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Nhà cửa, vật kiến trúc</w:t>
            </w:r>
          </w:p>
        </w:tc>
        <w:tc>
          <w:tcPr>
            <w:tcW w:w="2367" w:type="dxa"/>
          </w:tcPr>
          <w:p w:rsidR="003439CE" w:rsidRPr="00FA5FE9" w:rsidRDefault="003439CE"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5 - 25 năm</w:t>
            </w:r>
          </w:p>
        </w:tc>
      </w:tr>
      <w:tr w:rsidR="003439CE" w:rsidRPr="0075535E" w:rsidTr="00BC10F4">
        <w:tc>
          <w:tcPr>
            <w:tcW w:w="5760" w:type="dxa"/>
          </w:tcPr>
          <w:p w:rsidR="003439CE" w:rsidRPr="00FA5FE9" w:rsidRDefault="003439CE" w:rsidP="00FA5FE9">
            <w:pPr>
              <w:numPr>
                <w:ilvl w:val="0"/>
                <w:numId w:val="5"/>
              </w:numPr>
              <w:spacing w:before="120" w:after="120" w:line="252" w:lineRule="auto"/>
              <w:ind w:right="-24"/>
              <w:jc w:val="both"/>
              <w:rPr>
                <w:rFonts w:ascii="Times New Roman" w:hAnsi="Times New Roman"/>
                <w:b w:val="0"/>
                <w:bCs/>
                <w:sz w:val="24"/>
                <w:szCs w:val="24"/>
                <w:lang w:val="fr-FR"/>
              </w:rPr>
            </w:pPr>
            <w:r w:rsidRPr="00FA5FE9">
              <w:rPr>
                <w:rFonts w:ascii="Times New Roman" w:hAnsi="Times New Roman"/>
                <w:b w:val="0"/>
                <w:bCs/>
                <w:sz w:val="24"/>
                <w:szCs w:val="24"/>
                <w:lang w:val="fr-FR"/>
              </w:rPr>
              <w:t xml:space="preserve">Máy móc, thiết bị  </w:t>
            </w:r>
          </w:p>
        </w:tc>
        <w:tc>
          <w:tcPr>
            <w:tcW w:w="2367" w:type="dxa"/>
          </w:tcPr>
          <w:p w:rsidR="003439CE" w:rsidRPr="00FA5FE9" w:rsidRDefault="003439CE"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lang w:val="fr-FR"/>
              </w:rPr>
              <w:t xml:space="preserve">     </w:t>
            </w:r>
            <w:r w:rsidRPr="00FA5FE9">
              <w:rPr>
                <w:rFonts w:ascii="Times New Roman" w:hAnsi="Times New Roman"/>
                <w:b w:val="0"/>
                <w:bCs/>
                <w:sz w:val="24"/>
                <w:szCs w:val="24"/>
              </w:rPr>
              <w:t>6 - 10 năm</w:t>
            </w:r>
          </w:p>
        </w:tc>
      </w:tr>
      <w:tr w:rsidR="003439CE" w:rsidRPr="0075535E" w:rsidTr="00BC10F4">
        <w:tc>
          <w:tcPr>
            <w:tcW w:w="5760" w:type="dxa"/>
          </w:tcPr>
          <w:p w:rsidR="003439CE" w:rsidRPr="00FA5FE9" w:rsidRDefault="003439CE" w:rsidP="00FA5FE9">
            <w:pPr>
              <w:numPr>
                <w:ilvl w:val="0"/>
                <w:numId w:val="5"/>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Phương tiện vận tải  </w:t>
            </w:r>
          </w:p>
        </w:tc>
        <w:tc>
          <w:tcPr>
            <w:tcW w:w="2367" w:type="dxa"/>
          </w:tcPr>
          <w:p w:rsidR="003439CE" w:rsidRPr="00FA5FE9" w:rsidRDefault="003439CE"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8 - 14 năm</w:t>
            </w:r>
          </w:p>
        </w:tc>
      </w:tr>
      <w:tr w:rsidR="003439CE" w:rsidRPr="0075535E" w:rsidTr="00BC10F4">
        <w:tc>
          <w:tcPr>
            <w:tcW w:w="5760" w:type="dxa"/>
          </w:tcPr>
          <w:p w:rsidR="003439CE" w:rsidRPr="00FA5FE9" w:rsidRDefault="003439CE" w:rsidP="00FA5FE9">
            <w:pPr>
              <w:numPr>
                <w:ilvl w:val="0"/>
                <w:numId w:val="5"/>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Thiết bị văn phòng</w:t>
            </w:r>
          </w:p>
        </w:tc>
        <w:tc>
          <w:tcPr>
            <w:tcW w:w="2367" w:type="dxa"/>
          </w:tcPr>
          <w:p w:rsidR="003439CE" w:rsidRPr="00FA5FE9" w:rsidRDefault="003439CE"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5 - 10 năm</w:t>
            </w:r>
          </w:p>
        </w:tc>
      </w:tr>
    </w:tbl>
    <w:p w:rsidR="003439CE" w:rsidRPr="0075535E" w:rsidRDefault="003439CE" w:rsidP="008C69BD">
      <w:pPr>
        <w:pStyle w:val="par-1"/>
        <w:widowControl/>
        <w:spacing w:before="120" w:after="120" w:line="252" w:lineRule="auto"/>
        <w:ind w:left="11" w:right="53"/>
        <w:rPr>
          <w:rFonts w:eastAsia="Times New Roman"/>
          <w:bCs/>
          <w:szCs w:val="24"/>
          <w:lang w:val="en-GB"/>
        </w:rPr>
      </w:pPr>
      <w:r w:rsidRPr="0075535E">
        <w:rPr>
          <w:rFonts w:eastAsia="Times New Roman"/>
          <w:bCs/>
          <w:szCs w:val="24"/>
          <w:lang w:val="en-GB"/>
        </w:rPr>
        <w:t xml:space="preserve">       </w:t>
      </w:r>
      <w:r w:rsidRPr="0075535E">
        <w:rPr>
          <w:bCs/>
          <w:szCs w:val="24"/>
          <w:lang w:val="en-GB"/>
        </w:rPr>
        <w:t>Riêng đối với vườn cây cao su từ ngày 01/01/2010 phương pháp khấu hao được trích theo Quyết định số 221/QĐ-CSVN ngày 27 tháng 04 năm 2010 của Tập đoàn Công nghiệp Cao su Việt Nam “V/v: Ban hành điều chỉnh tỷ lệ trích khấu hao vườn cây cao su theo chu kỳ khai thác 20 năm và theo Công văn số 1937/BTC-TCDN ngày 09 tháng 02 năm 2010 của Cục Tài chính Doanh nghiệp.</w:t>
      </w:r>
    </w:p>
    <w:p w:rsidR="003439CE" w:rsidRPr="008C69BD" w:rsidRDefault="003439CE" w:rsidP="008C69BD">
      <w:pPr>
        <w:overflowPunct w:val="0"/>
        <w:autoSpaceDE w:val="0"/>
        <w:autoSpaceDN w:val="0"/>
        <w:adjustRightInd w:val="0"/>
        <w:spacing w:before="120" w:after="120" w:line="252" w:lineRule="auto"/>
        <w:ind w:left="11" w:right="53"/>
        <w:jc w:val="both"/>
        <w:textAlignment w:val="baseline"/>
        <w:rPr>
          <w:rFonts w:ascii="Times New Roman" w:hAnsi="Times New Roman"/>
          <w:bCs/>
          <w:sz w:val="24"/>
          <w:szCs w:val="24"/>
          <w:lang w:val="en-GB"/>
        </w:rPr>
      </w:pPr>
      <w:r w:rsidRPr="008C69BD">
        <w:rPr>
          <w:rFonts w:ascii="Times New Roman" w:hAnsi="Times New Roman"/>
          <w:bCs/>
          <w:sz w:val="24"/>
          <w:szCs w:val="24"/>
          <w:lang w:val="en-GB"/>
        </w:rPr>
        <w:t xml:space="preserve">     9- Nguyên tắc kế toán các hợp đồng hợp tác kinh doanh:</w:t>
      </w:r>
    </w:p>
    <w:p w:rsidR="003439CE" w:rsidRPr="008C69BD" w:rsidRDefault="003439CE" w:rsidP="008C69BD">
      <w:pPr>
        <w:overflowPunct w:val="0"/>
        <w:autoSpaceDE w:val="0"/>
        <w:autoSpaceDN w:val="0"/>
        <w:adjustRightInd w:val="0"/>
        <w:spacing w:before="120" w:after="120" w:line="252" w:lineRule="auto"/>
        <w:ind w:left="11" w:right="53"/>
        <w:jc w:val="both"/>
        <w:textAlignment w:val="baseline"/>
        <w:rPr>
          <w:rFonts w:ascii="Times New Roman" w:hAnsi="Times New Roman"/>
          <w:bCs/>
          <w:sz w:val="24"/>
          <w:szCs w:val="24"/>
          <w:lang w:val="en-GB"/>
        </w:rPr>
      </w:pPr>
      <w:r w:rsidRPr="008C69BD">
        <w:rPr>
          <w:rFonts w:ascii="Times New Roman" w:hAnsi="Times New Roman"/>
          <w:bCs/>
          <w:sz w:val="24"/>
          <w:szCs w:val="24"/>
          <w:lang w:val="en-GB"/>
        </w:rPr>
        <w:t xml:space="preserve">   10- Nguyên tắc ghi nhận và vốn hoá các khoản chi phí đi vay :</w:t>
      </w:r>
    </w:p>
    <w:p w:rsidR="003439CE" w:rsidRPr="00821578" w:rsidRDefault="003439CE" w:rsidP="008C69BD">
      <w:pPr>
        <w:pStyle w:val="par-1"/>
        <w:widowControl/>
        <w:spacing w:before="120" w:after="120" w:line="252" w:lineRule="auto"/>
        <w:ind w:left="11" w:right="53"/>
        <w:rPr>
          <w:szCs w:val="24"/>
        </w:rPr>
      </w:pPr>
      <w:r w:rsidRPr="00821578">
        <w:rPr>
          <w:bCs/>
          <w:szCs w:val="24"/>
        </w:rPr>
        <w:t xml:space="preserve">       </w:t>
      </w:r>
      <w:r w:rsidRPr="00821578">
        <w:rPr>
          <w:szCs w:val="24"/>
        </w:rPr>
        <w:t>Chi phí đi vay được ghi nhận vào chi phí sản xuất kinh doanh trong kỳ khi phát sinh, trừ khi chi phí đi vay liên quan trực tiếp đến việc đầu tư xây dựng hoặc sản xuất tài sản dở dang được tính vào giá trị của tài sản đó (được vốn hoá) khi có đủ điều kiện quy định trong Chuẩn mực Kế toán Việt Nam số 16 “ Chi phí đi vay ”. Chi phí đi vay liên quan trực tiếp đến việc đầu tư xây dựng hoặc sản xuất tài sản dở dang được tính vào giá trị của tài sản đó (được vốn hoá) bao gồm các khoản lãi tiền vay, phân bổ các khoản chiết khấu hoặc phụ trội  khi phát hành trái phiếu, các khoản chi phí phụ phát sinh liên quan đến quá trình làm thủ tục vay.</w:t>
      </w:r>
    </w:p>
    <w:p w:rsidR="003439CE" w:rsidRPr="0075535E" w:rsidRDefault="003439CE" w:rsidP="00C748D9">
      <w:pPr>
        <w:spacing w:before="120" w:after="120" w:line="259" w:lineRule="auto"/>
        <w:ind w:right="-29" w:firstLine="14"/>
        <w:jc w:val="both"/>
        <w:rPr>
          <w:rFonts w:ascii="Times New Roman" w:hAnsi="Times New Roman"/>
          <w:sz w:val="24"/>
          <w:szCs w:val="24"/>
        </w:rPr>
      </w:pPr>
      <w:r w:rsidRPr="0075535E">
        <w:rPr>
          <w:rFonts w:ascii="Times New Roman" w:hAnsi="Times New Roman"/>
          <w:b w:val="0"/>
          <w:sz w:val="24"/>
          <w:szCs w:val="24"/>
        </w:rPr>
        <w:t xml:space="preserve">    </w:t>
      </w:r>
      <w:r w:rsidRPr="0075535E">
        <w:rPr>
          <w:rFonts w:ascii="Times New Roman" w:hAnsi="Times New Roman"/>
          <w:sz w:val="24"/>
          <w:szCs w:val="24"/>
        </w:rPr>
        <w:t>11-Nguyên tắc kế toán thuế TNDN hoãn lại:</w:t>
      </w:r>
    </w:p>
    <w:p w:rsidR="003439CE" w:rsidRPr="0075535E" w:rsidRDefault="003439CE" w:rsidP="00C748D9">
      <w:pPr>
        <w:tabs>
          <w:tab w:val="left" w:pos="384"/>
        </w:tabs>
        <w:spacing w:before="120" w:after="120" w:line="259" w:lineRule="auto"/>
        <w:jc w:val="both"/>
        <w:rPr>
          <w:rFonts w:ascii="Times New Roman" w:hAnsi="Times New Roman"/>
          <w:iCs/>
          <w:sz w:val="24"/>
          <w:szCs w:val="24"/>
        </w:rPr>
      </w:pPr>
      <w:r w:rsidRPr="0075535E">
        <w:rPr>
          <w:rFonts w:ascii="Times New Roman" w:hAnsi="Times New Roman"/>
          <w:b w:val="0"/>
          <w:bCs/>
          <w:sz w:val="24"/>
          <w:szCs w:val="24"/>
        </w:rPr>
        <w:t xml:space="preserve">    </w:t>
      </w:r>
      <w:r w:rsidRPr="0075535E">
        <w:rPr>
          <w:rFonts w:ascii="Times New Roman" w:hAnsi="Times New Roman"/>
          <w:iCs/>
          <w:sz w:val="24"/>
          <w:szCs w:val="24"/>
        </w:rPr>
        <w:t>12-Nguyên tắc kế toán chi phí trả trước:</w:t>
      </w:r>
    </w:p>
    <w:p w:rsidR="003439CE" w:rsidRPr="00FA5FE9" w:rsidRDefault="003439CE" w:rsidP="00FA5FE9">
      <w:pPr>
        <w:spacing w:before="120" w:after="120" w:line="259" w:lineRule="auto"/>
        <w:ind w:right="-29" w:firstLine="14"/>
        <w:jc w:val="both"/>
        <w:rPr>
          <w:rFonts w:ascii="Times New Roman" w:hAnsi="Times New Roman"/>
          <w:b w:val="0"/>
          <w:sz w:val="24"/>
          <w:szCs w:val="24"/>
        </w:rPr>
      </w:pPr>
      <w:r w:rsidRPr="00FA5FE9">
        <w:rPr>
          <w:rFonts w:ascii="Times New Roman" w:hAnsi="Times New Roman"/>
          <w:b w:val="0"/>
          <w:bCs/>
          <w:sz w:val="24"/>
          <w:szCs w:val="24"/>
        </w:rPr>
        <w:t xml:space="preserve">     - Chi phí trả trước dài hạn: </w:t>
      </w:r>
      <w:r w:rsidRPr="00FA5FE9">
        <w:rPr>
          <w:rFonts w:ascii="Times New Roman" w:hAnsi="Times New Roman"/>
          <w:b w:val="0"/>
          <w:sz w:val="24"/>
          <w:szCs w:val="24"/>
        </w:rPr>
        <w:t xml:space="preserve">Cỏc chi phí trả trước chỉ liên quan đến chi phí sản xuất kinh doanh năm tài chính hiện tại được ghi nhận là chi phí trả trước ngắn hạn. </w:t>
      </w:r>
    </w:p>
    <w:p w:rsidR="003439CE" w:rsidRPr="0075535E" w:rsidRDefault="003439CE" w:rsidP="00C748D9">
      <w:pPr>
        <w:spacing w:before="120" w:after="120" w:line="259" w:lineRule="auto"/>
        <w:ind w:right="-29" w:firstLine="456"/>
        <w:jc w:val="both"/>
        <w:rPr>
          <w:rFonts w:ascii="Times New Roman" w:hAnsi="Times New Roman"/>
          <w:b w:val="0"/>
          <w:sz w:val="24"/>
          <w:szCs w:val="24"/>
        </w:rPr>
      </w:pPr>
      <w:r w:rsidRPr="0075535E">
        <w:rPr>
          <w:rFonts w:ascii="Times New Roman" w:hAnsi="Times New Roman"/>
          <w:b w:val="0"/>
          <w:sz w:val="24"/>
          <w:szCs w:val="24"/>
        </w:rPr>
        <w:lastRenderedPageBreak/>
        <w:t>Các chi phí sau đây đã phát sinh trong năm tài chính nhưng được hạch toán vào chi phí trả trước dài hạn để phân bổ dần vào kết quả hoạt động kinh doanh: Công cụ dụng cụ xuất dùng phục vụ công tác cạo mủ có giá trị lớn, các khoản chi phí sửa chữa lớn phát sinh trong năm.</w:t>
      </w:r>
    </w:p>
    <w:p w:rsidR="003439CE" w:rsidRPr="0075535E" w:rsidRDefault="003439CE" w:rsidP="00C748D9">
      <w:pPr>
        <w:spacing w:before="120" w:after="120" w:line="259" w:lineRule="auto"/>
        <w:ind w:right="-29" w:firstLine="456"/>
        <w:jc w:val="both"/>
        <w:rPr>
          <w:rFonts w:ascii="Times New Roman" w:hAnsi="Times New Roman"/>
          <w:b w:val="0"/>
          <w:sz w:val="24"/>
          <w:szCs w:val="24"/>
        </w:rPr>
      </w:pPr>
      <w:r w:rsidRPr="0075535E">
        <w:rPr>
          <w:rFonts w:ascii="Times New Roman" w:hAnsi="Times New Roman"/>
          <w:b w:val="0"/>
          <w:sz w:val="24"/>
          <w:szCs w:val="24"/>
        </w:rPr>
        <w:t>Việc tính và phân bổ chi phí trả trước dài hạn vào chi phí sản xuất kinh doanh từng kỳ hạch toán được căn cứ vào tính chất, mức độ từng loại chi phí để chọn phương pháp và tiêu thức phân bổ hợp lý. Chi phí trả trước được phân bổ dần vào chi phí sản xuất kinh doanh theo phương pháp đường thẳng.</w:t>
      </w:r>
    </w:p>
    <w:p w:rsidR="003439CE" w:rsidRPr="0075535E" w:rsidRDefault="003439CE" w:rsidP="00C748D9">
      <w:pPr>
        <w:spacing w:before="120" w:after="120" w:line="259" w:lineRule="auto"/>
        <w:ind w:right="-29" w:firstLine="456"/>
        <w:jc w:val="both"/>
        <w:rPr>
          <w:rFonts w:ascii="Times New Roman" w:hAnsi="Times New Roman"/>
          <w:sz w:val="24"/>
          <w:szCs w:val="24"/>
        </w:rPr>
      </w:pPr>
      <w:r w:rsidRPr="0075535E">
        <w:rPr>
          <w:rFonts w:ascii="Times New Roman" w:hAnsi="Times New Roman"/>
          <w:sz w:val="24"/>
          <w:szCs w:val="24"/>
        </w:rPr>
        <w:t>13-Nguyên tắc kế toán nợ phải trả:</w:t>
      </w:r>
    </w:p>
    <w:p w:rsidR="003439CE" w:rsidRPr="0075535E" w:rsidRDefault="003439CE"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14-Nguyên tắc ghi nhận vay và nợ phải trả thuê tài chính:</w:t>
      </w:r>
    </w:p>
    <w:p w:rsidR="003439CE" w:rsidRPr="0075535E" w:rsidRDefault="003439CE"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15-Nguyên tắc và phương pháp ghi nhận các khoản dự phòng phải trả:</w:t>
      </w:r>
    </w:p>
    <w:p w:rsidR="003439CE" w:rsidRPr="0075535E" w:rsidRDefault="003439CE"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16-Nguyên tắc ghi nhận doanh thu chưa thực hiện:</w:t>
      </w:r>
    </w:p>
    <w:p w:rsidR="003439CE" w:rsidRPr="0075535E" w:rsidRDefault="003439CE"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17-Nguyên tắc ghi nhận trái phiếu chuyển đổi</w:t>
      </w:r>
    </w:p>
    <w:p w:rsidR="003439CE" w:rsidRPr="00D44D57" w:rsidRDefault="003439CE" w:rsidP="00D44D57">
      <w:pPr>
        <w:spacing w:before="120" w:after="120" w:line="259" w:lineRule="auto"/>
        <w:ind w:right="-29" w:firstLine="14"/>
        <w:jc w:val="both"/>
        <w:rPr>
          <w:rFonts w:ascii="Times New Roman" w:hAnsi="Times New Roman"/>
          <w:sz w:val="24"/>
          <w:szCs w:val="24"/>
        </w:rPr>
      </w:pPr>
      <w:r w:rsidRPr="00D44D57">
        <w:rPr>
          <w:rFonts w:ascii="Times New Roman" w:hAnsi="Times New Roman"/>
          <w:b w:val="0"/>
          <w:bCs/>
          <w:iCs/>
          <w:sz w:val="24"/>
          <w:szCs w:val="24"/>
        </w:rPr>
        <w:t xml:space="preserve">       </w:t>
      </w:r>
      <w:r w:rsidRPr="00D44D57">
        <w:rPr>
          <w:rFonts w:ascii="Times New Roman" w:hAnsi="Times New Roman"/>
          <w:sz w:val="24"/>
          <w:szCs w:val="24"/>
        </w:rPr>
        <w:t>18- Nguyên tắc ghi nhận chi phí phải trả:</w:t>
      </w:r>
    </w:p>
    <w:p w:rsidR="003439CE" w:rsidRPr="0075535E" w:rsidRDefault="003439CE" w:rsidP="009B7E5B">
      <w:pPr>
        <w:pStyle w:val="BodyTextIndent"/>
        <w:spacing w:before="120" w:after="120" w:line="252" w:lineRule="auto"/>
        <w:ind w:right="-29" w:firstLine="480"/>
        <w:rPr>
          <w:rFonts w:ascii="Times New Roman" w:hAnsi="Times New Roman"/>
          <w:i/>
          <w:szCs w:val="24"/>
        </w:rPr>
      </w:pPr>
      <w:r w:rsidRPr="0075535E">
        <w:rPr>
          <w:rFonts w:ascii="Times New Roman" w:hAnsi="Times New Roman"/>
          <w:szCs w:val="24"/>
        </w:rPr>
        <w:t>Các khoản chi phí thực tế chưa phát sinh nhưng được trích trước vào chi phí sản xuất, kinh doanh  kỳ này để đảm bảo khi chi phí phát sinh thực tế không gây đột biến cho chi phí sản xuất kinh doanh trên cơ sở đảm bảo nguyên tắc phù hợp giữa doanh thu và chi phí . Khi các chi phí đó phát sinh, nếu có chênh lệch với số đã trích, kế toán tiến hành ghi bổ sung hoặc ghi giảm chi phí tương ứng với phần chênh lệch.</w:t>
      </w:r>
    </w:p>
    <w:p w:rsidR="003439CE" w:rsidRPr="00D44D57" w:rsidRDefault="003439CE" w:rsidP="00D44D57">
      <w:pPr>
        <w:tabs>
          <w:tab w:val="left" w:pos="384"/>
        </w:tabs>
        <w:spacing w:before="120" w:after="120" w:line="252" w:lineRule="auto"/>
        <w:jc w:val="both"/>
        <w:rPr>
          <w:rFonts w:ascii="Times New Roman" w:hAnsi="Times New Roman"/>
          <w:iCs/>
          <w:sz w:val="24"/>
          <w:szCs w:val="24"/>
        </w:rPr>
      </w:pPr>
      <w:r w:rsidRPr="00D44D57">
        <w:rPr>
          <w:rFonts w:ascii="Times New Roman" w:hAnsi="Times New Roman"/>
          <w:b w:val="0"/>
          <w:bCs/>
          <w:sz w:val="24"/>
          <w:szCs w:val="24"/>
        </w:rPr>
        <w:t xml:space="preserve">      </w:t>
      </w:r>
      <w:r w:rsidRPr="00D44D57">
        <w:rPr>
          <w:rFonts w:ascii="Times New Roman" w:hAnsi="Times New Roman"/>
          <w:iCs/>
          <w:sz w:val="24"/>
          <w:szCs w:val="24"/>
        </w:rPr>
        <w:t>19- Nguyên tắc ghi nhận vốn chủ sở hữu:</w:t>
      </w:r>
    </w:p>
    <w:p w:rsidR="003439CE" w:rsidRPr="00D44D57" w:rsidRDefault="003439CE"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i/>
          <w:iCs/>
          <w:sz w:val="24"/>
          <w:szCs w:val="24"/>
        </w:rPr>
        <w:t xml:space="preserve">       </w:t>
      </w:r>
      <w:r w:rsidRPr="00D44D57">
        <w:rPr>
          <w:rFonts w:ascii="Times New Roman" w:hAnsi="Times New Roman"/>
          <w:b w:val="0"/>
          <w:iCs/>
          <w:sz w:val="24"/>
          <w:szCs w:val="24"/>
        </w:rPr>
        <w:t>Vốn đầu tư của chủ sở hữu được ghi nhận theo số vốn thực góp của chủ sở hữu.</w:t>
      </w:r>
    </w:p>
    <w:p w:rsidR="003439CE" w:rsidRPr="00D44D57" w:rsidRDefault="003439CE"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b w:val="0"/>
          <w:iCs/>
          <w:sz w:val="24"/>
          <w:szCs w:val="24"/>
        </w:rPr>
        <w:t xml:space="preserve">       Vốn khác của chủ sở hữu được ghi theo giá trị còn lại giữa giá trị hợp lý của các tài sản mà doanh nghiệp được các tổ chức cá nhân khác tặng, biếu sau khi trừ (-) các khoản thuế phải nộp (nếu có) liên quan đến các tài sản được tặng, biếu này và khoản bổ sung từ kết quả hoạt động kinh doanh.</w:t>
      </w:r>
    </w:p>
    <w:p w:rsidR="003439CE" w:rsidRPr="00D44D57" w:rsidRDefault="003439CE"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b w:val="0"/>
          <w:iCs/>
          <w:sz w:val="24"/>
          <w:szCs w:val="24"/>
        </w:rPr>
        <w:t xml:space="preserve">        Lợi nhuận sau thuế chưa phân phối là số lợi nhuận từ các hoạt động kinh doanh của doanh nghiệp sau khi trừ (-) các khoản điều chỉnh do áp dụng hồi tố thay đổi chính sách kế toán và điều chỉnh hồi tố sai sót trọng yếu của các năm trước. </w:t>
      </w:r>
    </w:p>
    <w:p w:rsidR="003439CE" w:rsidRPr="00D44D57" w:rsidRDefault="003439CE" w:rsidP="00D44D57">
      <w:pPr>
        <w:tabs>
          <w:tab w:val="left" w:pos="384"/>
        </w:tabs>
        <w:spacing w:before="120" w:after="120" w:line="252" w:lineRule="auto"/>
        <w:jc w:val="both"/>
        <w:rPr>
          <w:rFonts w:ascii="Times New Roman" w:hAnsi="Times New Roman"/>
          <w:iCs/>
          <w:sz w:val="24"/>
          <w:szCs w:val="24"/>
        </w:rPr>
      </w:pPr>
      <w:r w:rsidRPr="00D44D57">
        <w:rPr>
          <w:rFonts w:ascii="Times New Roman" w:hAnsi="Times New Roman"/>
          <w:b w:val="0"/>
          <w:bCs/>
          <w:sz w:val="24"/>
          <w:szCs w:val="24"/>
        </w:rPr>
        <w:t xml:space="preserve">      </w:t>
      </w:r>
      <w:r w:rsidRPr="00D44D57">
        <w:rPr>
          <w:rFonts w:ascii="Times New Roman" w:hAnsi="Times New Roman"/>
          <w:iCs/>
          <w:sz w:val="24"/>
          <w:szCs w:val="24"/>
        </w:rPr>
        <w:t>20- Nguyên tắc và phương pháp ghi nhận doanh thu:</w:t>
      </w:r>
    </w:p>
    <w:p w:rsidR="003439CE" w:rsidRPr="0075535E" w:rsidRDefault="003439CE" w:rsidP="00C748D9">
      <w:pPr>
        <w:spacing w:before="120" w:after="120" w:line="252" w:lineRule="auto"/>
        <w:ind w:right="-29" w:firstLine="11"/>
        <w:jc w:val="both"/>
        <w:rPr>
          <w:rFonts w:ascii="Times New Roman" w:hAnsi="Times New Roman"/>
          <w:i/>
          <w:sz w:val="24"/>
          <w:szCs w:val="24"/>
        </w:rPr>
      </w:pPr>
      <w:r w:rsidRPr="0075535E">
        <w:rPr>
          <w:rFonts w:ascii="Times New Roman" w:hAnsi="Times New Roman"/>
          <w:sz w:val="24"/>
          <w:szCs w:val="24"/>
        </w:rPr>
        <w:t xml:space="preserve">      - </w:t>
      </w:r>
      <w:r w:rsidRPr="0075535E">
        <w:rPr>
          <w:rFonts w:ascii="Times New Roman" w:hAnsi="Times New Roman"/>
          <w:i/>
          <w:sz w:val="24"/>
          <w:szCs w:val="24"/>
        </w:rPr>
        <w:t>Doanh thu bán hàng được ghi nhận khi đồng thời thỏa mãn các điều kiện sau:</w:t>
      </w:r>
    </w:p>
    <w:p w:rsidR="003439CE" w:rsidRPr="0075535E" w:rsidRDefault="003439CE" w:rsidP="00C748D9">
      <w:pPr>
        <w:spacing w:before="120" w:after="120" w:line="252" w:lineRule="auto"/>
        <w:ind w:left="-24" w:right="-29"/>
        <w:jc w:val="both"/>
        <w:rPr>
          <w:rFonts w:ascii="Times New Roman" w:hAnsi="Times New Roman"/>
          <w:b w:val="0"/>
          <w:sz w:val="24"/>
          <w:szCs w:val="24"/>
        </w:rPr>
      </w:pPr>
      <w:r w:rsidRPr="0075535E">
        <w:rPr>
          <w:rFonts w:ascii="Times New Roman" w:hAnsi="Times New Roman"/>
          <w:b w:val="0"/>
          <w:sz w:val="24"/>
          <w:szCs w:val="24"/>
        </w:rPr>
        <w:t xml:space="preserve">         + Phần lớn rủi ro và lợi ích gắn liền với quyền sở hữu sản phẩm hoặc hàng hóa đã được chuyển giao cho người mua;</w:t>
      </w:r>
    </w:p>
    <w:p w:rsidR="003439CE" w:rsidRPr="0075535E" w:rsidRDefault="003439CE" w:rsidP="00C748D9">
      <w:pPr>
        <w:spacing w:before="120" w:after="120" w:line="252" w:lineRule="auto"/>
        <w:ind w:right="-29" w:firstLine="24"/>
        <w:jc w:val="both"/>
        <w:rPr>
          <w:rFonts w:ascii="Times New Roman" w:hAnsi="Times New Roman"/>
          <w:b w:val="0"/>
          <w:sz w:val="24"/>
          <w:szCs w:val="24"/>
        </w:rPr>
      </w:pPr>
      <w:r w:rsidRPr="0075535E">
        <w:rPr>
          <w:rFonts w:ascii="Times New Roman" w:hAnsi="Times New Roman"/>
          <w:b w:val="0"/>
          <w:sz w:val="24"/>
          <w:szCs w:val="24"/>
        </w:rPr>
        <w:t xml:space="preserve">        + Công ty không còn nắm giữ quyền quản lý hàng hóa như người sở hữu hàng hóa hoặc quyền kiểm soát hàng hóa;</w:t>
      </w:r>
    </w:p>
    <w:p w:rsidR="003439CE" w:rsidRPr="0075535E" w:rsidRDefault="003439CE"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Doanh thu được xác định tương đối chắc chắn;</w:t>
      </w:r>
    </w:p>
    <w:p w:rsidR="003439CE" w:rsidRPr="0075535E" w:rsidRDefault="003439CE"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Công ty đã thu được hoặc sẽ thu được lợi ích kinh tế từ giao dịch bán hàng;</w:t>
      </w:r>
    </w:p>
    <w:p w:rsidR="003439CE" w:rsidRPr="0075535E" w:rsidRDefault="003439CE"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chi phí liên quan đến giao dịch bán hàng</w:t>
      </w:r>
    </w:p>
    <w:p w:rsidR="003439CE" w:rsidRPr="0075535E" w:rsidRDefault="003439CE" w:rsidP="00C748D9">
      <w:pPr>
        <w:spacing w:before="120" w:after="120" w:line="252" w:lineRule="auto"/>
        <w:ind w:right="-29" w:firstLine="371"/>
        <w:jc w:val="both"/>
        <w:rPr>
          <w:rFonts w:ascii="Times New Roman" w:hAnsi="Times New Roman"/>
          <w:i/>
          <w:sz w:val="24"/>
          <w:szCs w:val="24"/>
        </w:rPr>
      </w:pPr>
      <w:r w:rsidRPr="0075535E">
        <w:rPr>
          <w:rFonts w:ascii="Times New Roman" w:hAnsi="Times New Roman"/>
          <w:i/>
          <w:sz w:val="24"/>
          <w:szCs w:val="24"/>
        </w:rPr>
        <w:t xml:space="preserve">- Doanh thu cung cấp dịch vụ: </w:t>
      </w:r>
    </w:p>
    <w:p w:rsidR="003439CE" w:rsidRPr="0075535E" w:rsidRDefault="003439CE" w:rsidP="00C748D9">
      <w:pPr>
        <w:spacing w:before="120" w:after="120" w:line="252" w:lineRule="auto"/>
        <w:ind w:right="-29" w:firstLine="371"/>
        <w:jc w:val="both"/>
        <w:rPr>
          <w:rFonts w:ascii="Times New Roman" w:hAnsi="Times New Roman"/>
          <w:b w:val="0"/>
          <w:sz w:val="24"/>
          <w:szCs w:val="24"/>
        </w:rPr>
      </w:pPr>
      <w:r w:rsidRPr="0075535E">
        <w:rPr>
          <w:rFonts w:ascii="Times New Roman" w:hAnsi="Times New Roman"/>
          <w:b w:val="0"/>
          <w:sz w:val="24"/>
          <w:szCs w:val="24"/>
        </w:rPr>
        <w:t>Doanh thu cung cấp dịch vụ được ghi nhận khi kết quả của giao dịch đó được xác định một cách đáng tin cậy. Trường hợp việc cung cấp dịch vụ liên quan đến nhiều kỳ thì doanh thu được ghi nhận trong kỳ theo kết quả phần công việc đã hoàn thành vào ngày lập Bảng Cân đối kế toán của kỳ đó. Kết quả của giao dịch cung cấp dịch vụ được xác định khi thỏa mãn các điều kiện sau:</w:t>
      </w:r>
    </w:p>
    <w:p w:rsidR="003439CE" w:rsidRPr="0075535E" w:rsidRDefault="003439CE"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lastRenderedPageBreak/>
        <w:t xml:space="preserve">        + Doanh thu được xác định tương đối chắc chắn;</w:t>
      </w:r>
    </w:p>
    <w:p w:rsidR="003439CE" w:rsidRPr="0075535E" w:rsidRDefault="003439CE"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Có khả năng thu được lợi ích kinh tế từ giao dịch cung cấp dịch vụ đó;</w:t>
      </w:r>
    </w:p>
    <w:p w:rsidR="003439CE" w:rsidRPr="0075535E" w:rsidRDefault="003439CE"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phần công việc đã hoàn thành vào ngày lập Bảng cân đối kế toán;</w:t>
      </w:r>
    </w:p>
    <w:p w:rsidR="003439CE" w:rsidRPr="0075535E" w:rsidRDefault="003439CE" w:rsidP="00C748D9">
      <w:pPr>
        <w:spacing w:before="120" w:after="120" w:line="252" w:lineRule="auto"/>
        <w:ind w:left="-24"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chi phí phát sinh cho giao dịch và chi phí để hoàn thành giao dịch cung cấp dịch vụ đó.</w:t>
      </w:r>
    </w:p>
    <w:p w:rsidR="003439CE" w:rsidRPr="0075535E" w:rsidRDefault="003439CE"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Phần công việc cung cấp dịch vụ đã hoàn thành được xác định theo phương pháp đánh giá công việc hoàn thành.</w:t>
      </w:r>
    </w:p>
    <w:p w:rsidR="003439CE" w:rsidRPr="0075535E" w:rsidRDefault="003439CE" w:rsidP="00C748D9">
      <w:pPr>
        <w:spacing w:before="120" w:after="120" w:line="252" w:lineRule="auto"/>
        <w:ind w:right="-29" w:firstLine="371"/>
        <w:jc w:val="both"/>
        <w:rPr>
          <w:rFonts w:ascii="Times New Roman" w:hAnsi="Times New Roman"/>
          <w:i/>
          <w:sz w:val="24"/>
          <w:szCs w:val="24"/>
        </w:rPr>
      </w:pPr>
      <w:r w:rsidRPr="0075535E">
        <w:rPr>
          <w:rFonts w:ascii="Times New Roman" w:hAnsi="Times New Roman"/>
          <w:i/>
          <w:sz w:val="24"/>
          <w:szCs w:val="24"/>
        </w:rPr>
        <w:t xml:space="preserve">- Doanh thu hoạt động tài chính </w:t>
      </w:r>
    </w:p>
    <w:p w:rsidR="003439CE" w:rsidRPr="0075535E" w:rsidRDefault="003439CE" w:rsidP="00C748D9">
      <w:pPr>
        <w:spacing w:before="120" w:after="120" w:line="252" w:lineRule="auto"/>
        <w:ind w:right="-29" w:firstLine="371"/>
        <w:jc w:val="both"/>
        <w:rPr>
          <w:rFonts w:ascii="Times New Roman" w:hAnsi="Times New Roman"/>
          <w:b w:val="0"/>
          <w:sz w:val="24"/>
          <w:szCs w:val="24"/>
        </w:rPr>
      </w:pPr>
      <w:r w:rsidRPr="0075535E">
        <w:rPr>
          <w:rFonts w:ascii="Times New Roman" w:hAnsi="Times New Roman"/>
          <w:b w:val="0"/>
          <w:sz w:val="24"/>
          <w:szCs w:val="24"/>
        </w:rPr>
        <w:t>Doanh thu phát sinh từ tiền lãi, tiền bản quyền, cổ tức, lợi nhuận được chia và các khoản doanh thu hoạt động tài chính khác được ghi nhận khi thỏa mãn đồng thời hai (2) điều kiện sau:</w:t>
      </w:r>
    </w:p>
    <w:p w:rsidR="003439CE" w:rsidRPr="0075535E" w:rsidRDefault="003439CE" w:rsidP="00C748D9">
      <w:pPr>
        <w:tabs>
          <w:tab w:val="num" w:pos="822"/>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Có khả năng thu được lợi ích kinh tế từ giao dịch đó;</w:t>
      </w:r>
    </w:p>
    <w:p w:rsidR="003439CE" w:rsidRPr="0075535E" w:rsidRDefault="003439CE" w:rsidP="00C748D9">
      <w:pPr>
        <w:tabs>
          <w:tab w:val="num" w:pos="822"/>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Doanh thu được xác định tương đối chắc chắn.</w:t>
      </w:r>
    </w:p>
    <w:p w:rsidR="003439CE" w:rsidRPr="0075535E" w:rsidRDefault="003439CE" w:rsidP="00C748D9">
      <w:pPr>
        <w:spacing w:before="120" w:after="120" w:line="245" w:lineRule="auto"/>
        <w:ind w:right="-29" w:firstLine="504"/>
        <w:jc w:val="both"/>
        <w:rPr>
          <w:rFonts w:ascii="Times New Roman" w:hAnsi="Times New Roman"/>
          <w:b w:val="0"/>
          <w:sz w:val="24"/>
          <w:szCs w:val="24"/>
        </w:rPr>
      </w:pPr>
      <w:r w:rsidRPr="0075535E">
        <w:rPr>
          <w:rFonts w:ascii="Times New Roman" w:hAnsi="Times New Roman"/>
          <w:b w:val="0"/>
          <w:sz w:val="24"/>
          <w:szCs w:val="24"/>
        </w:rPr>
        <w:t>Cổ tức, lợi nhuận được chia được ghi nhận khi Công ty được quyền nhận cổ tức hoặc được quyền nhận lợi nhuận từ việc góp vốn.</w:t>
      </w:r>
    </w:p>
    <w:p w:rsidR="003439CE" w:rsidRPr="0075535E" w:rsidRDefault="003439CE" w:rsidP="00C748D9">
      <w:pPr>
        <w:spacing w:before="120" w:after="120" w:line="245" w:lineRule="auto"/>
        <w:ind w:right="-29"/>
        <w:jc w:val="both"/>
        <w:rPr>
          <w:rFonts w:ascii="Times New Roman" w:hAnsi="Times New Roman"/>
          <w:sz w:val="24"/>
          <w:szCs w:val="24"/>
        </w:rPr>
      </w:pPr>
      <w:r w:rsidRPr="0075535E">
        <w:rPr>
          <w:rFonts w:ascii="Times New Roman" w:hAnsi="Times New Roman"/>
          <w:b w:val="0"/>
          <w:sz w:val="24"/>
          <w:szCs w:val="24"/>
        </w:rPr>
        <w:t xml:space="preserve">   </w:t>
      </w:r>
      <w:r w:rsidRPr="0075535E">
        <w:rPr>
          <w:rFonts w:ascii="Times New Roman" w:hAnsi="Times New Roman"/>
          <w:sz w:val="24"/>
          <w:szCs w:val="24"/>
        </w:rPr>
        <w:t>21-Nguyên tắc kế toán các khoản giảm trừ doanh thu</w:t>
      </w:r>
    </w:p>
    <w:p w:rsidR="003439CE" w:rsidRPr="0075535E" w:rsidRDefault="003439CE" w:rsidP="00C748D9">
      <w:pPr>
        <w:spacing w:before="120" w:after="120" w:line="245" w:lineRule="auto"/>
        <w:ind w:right="-29"/>
        <w:jc w:val="both"/>
        <w:rPr>
          <w:rFonts w:ascii="Times New Roman" w:hAnsi="Times New Roman"/>
          <w:sz w:val="24"/>
          <w:szCs w:val="24"/>
        </w:rPr>
      </w:pPr>
      <w:r w:rsidRPr="0075535E">
        <w:rPr>
          <w:rFonts w:ascii="Times New Roman" w:hAnsi="Times New Roman"/>
          <w:sz w:val="24"/>
          <w:szCs w:val="24"/>
        </w:rPr>
        <w:t xml:space="preserve">   22-Nguyên tắc kế toán giá vốn hàng bán</w:t>
      </w:r>
    </w:p>
    <w:p w:rsidR="003439CE" w:rsidRPr="00C92476" w:rsidRDefault="003439CE" w:rsidP="00C92476">
      <w:pPr>
        <w:spacing w:before="120" w:after="120" w:line="245" w:lineRule="auto"/>
        <w:jc w:val="both"/>
        <w:rPr>
          <w:rFonts w:ascii="Times New Roman" w:hAnsi="Times New Roman"/>
          <w:iCs/>
          <w:sz w:val="24"/>
          <w:szCs w:val="24"/>
        </w:rPr>
      </w:pPr>
      <w:r w:rsidRPr="00C92476">
        <w:rPr>
          <w:rFonts w:ascii="Times New Roman" w:hAnsi="Times New Roman"/>
          <w:b w:val="0"/>
          <w:bCs/>
          <w:sz w:val="24"/>
          <w:szCs w:val="24"/>
        </w:rPr>
        <w:t xml:space="preserve">    </w:t>
      </w:r>
      <w:r w:rsidRPr="00C92476">
        <w:rPr>
          <w:rFonts w:ascii="Times New Roman" w:hAnsi="Times New Roman"/>
          <w:iCs/>
          <w:sz w:val="24"/>
          <w:szCs w:val="24"/>
        </w:rPr>
        <w:t>23- Nguyên tắc kế toán chi phí tài chính:</w:t>
      </w:r>
    </w:p>
    <w:p w:rsidR="003439CE" w:rsidRPr="0075535E" w:rsidRDefault="003439CE" w:rsidP="00C748D9">
      <w:pPr>
        <w:spacing w:before="120" w:after="120" w:line="245" w:lineRule="auto"/>
        <w:ind w:right="-29" w:firstLine="11"/>
        <w:jc w:val="both"/>
        <w:rPr>
          <w:rFonts w:ascii="Times New Roman" w:hAnsi="Times New Roman"/>
          <w:b w:val="0"/>
          <w:sz w:val="24"/>
          <w:szCs w:val="24"/>
        </w:rPr>
      </w:pPr>
      <w:r w:rsidRPr="0075535E">
        <w:rPr>
          <w:rFonts w:ascii="Times New Roman" w:hAnsi="Times New Roman"/>
          <w:sz w:val="24"/>
          <w:szCs w:val="24"/>
        </w:rPr>
        <w:t xml:space="preserve">      </w:t>
      </w:r>
      <w:r w:rsidRPr="0075535E">
        <w:rPr>
          <w:rFonts w:ascii="Times New Roman" w:hAnsi="Times New Roman"/>
          <w:b w:val="0"/>
          <w:sz w:val="24"/>
          <w:szCs w:val="24"/>
        </w:rPr>
        <w:t>Các khoản chi phí được ghi nhận vào chi phí tài chính gồm:</w:t>
      </w:r>
    </w:p>
    <w:p w:rsidR="003439CE" w:rsidRPr="0075535E" w:rsidRDefault="003439CE"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Chi phí hoặc các khoản lỗ liên quan đến các hoạt động đầu tư tài chính</w:t>
      </w:r>
    </w:p>
    <w:p w:rsidR="003439CE" w:rsidRPr="0075535E" w:rsidRDefault="003439CE"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Chi phí cho vay và đi vay vốn</w:t>
      </w:r>
    </w:p>
    <w:p w:rsidR="003439CE" w:rsidRPr="0075535E" w:rsidRDefault="003439CE"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Các khoản lỗ do chênh lệch tỷ giá hối đoái của các nghiệp vụ phát sinh liên quan đến ngoại tệ.</w:t>
      </w:r>
    </w:p>
    <w:p w:rsidR="003439CE" w:rsidRPr="0075535E" w:rsidRDefault="003439CE"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Dự phòng giảm giá đầu tư chứng khoán</w:t>
      </w:r>
    </w:p>
    <w:p w:rsidR="003439CE" w:rsidRPr="0075535E" w:rsidRDefault="003439CE" w:rsidP="00C748D9">
      <w:pPr>
        <w:spacing w:before="120" w:after="120" w:line="245" w:lineRule="auto"/>
        <w:ind w:right="-29" w:firstLine="368"/>
        <w:jc w:val="both"/>
        <w:rPr>
          <w:rFonts w:ascii="Times New Roman" w:hAnsi="Times New Roman"/>
          <w:b w:val="0"/>
          <w:sz w:val="24"/>
          <w:szCs w:val="24"/>
        </w:rPr>
      </w:pPr>
      <w:r w:rsidRPr="0075535E">
        <w:rPr>
          <w:rFonts w:ascii="Times New Roman" w:hAnsi="Times New Roman"/>
          <w:b w:val="0"/>
          <w:sz w:val="24"/>
          <w:szCs w:val="24"/>
        </w:rPr>
        <w:t>Các khoản trên được ghi nhận theo tổng số phát sinh trong kỳ, không bù trừ với doanh thu hoạt động tài chính.</w:t>
      </w:r>
    </w:p>
    <w:p w:rsidR="003439CE" w:rsidRPr="0075535E" w:rsidRDefault="003439CE" w:rsidP="00C748D9">
      <w:pPr>
        <w:spacing w:before="120" w:after="120" w:line="245" w:lineRule="auto"/>
        <w:ind w:right="-29" w:firstLine="368"/>
        <w:jc w:val="both"/>
        <w:rPr>
          <w:rFonts w:ascii="Times New Roman" w:hAnsi="Times New Roman"/>
          <w:sz w:val="24"/>
          <w:szCs w:val="24"/>
        </w:rPr>
      </w:pPr>
      <w:r w:rsidRPr="0075535E">
        <w:rPr>
          <w:rFonts w:ascii="Times New Roman" w:hAnsi="Times New Roman"/>
          <w:sz w:val="24"/>
          <w:szCs w:val="24"/>
        </w:rPr>
        <w:t>24-Nguyên tắc kế toán chi phí bán hàng, chi phí quản lý doanh nghiệp:</w:t>
      </w:r>
    </w:p>
    <w:p w:rsidR="003439CE" w:rsidRPr="00D44D57" w:rsidRDefault="003439CE" w:rsidP="00D44D57">
      <w:pPr>
        <w:spacing w:before="120" w:after="120" w:line="245" w:lineRule="auto"/>
        <w:jc w:val="both"/>
        <w:rPr>
          <w:rFonts w:ascii="Times New Roman" w:hAnsi="Times New Roman"/>
          <w:iCs/>
          <w:sz w:val="24"/>
          <w:szCs w:val="24"/>
        </w:rPr>
      </w:pPr>
      <w:r w:rsidRPr="00D44D57">
        <w:rPr>
          <w:rFonts w:ascii="Times New Roman" w:hAnsi="Times New Roman"/>
          <w:b w:val="0"/>
          <w:i/>
          <w:iCs/>
          <w:sz w:val="24"/>
          <w:szCs w:val="24"/>
        </w:rPr>
        <w:t xml:space="preserve">     </w:t>
      </w:r>
      <w:r w:rsidRPr="00D44D57">
        <w:rPr>
          <w:rFonts w:ascii="Times New Roman" w:hAnsi="Times New Roman"/>
          <w:iCs/>
          <w:sz w:val="24"/>
          <w:szCs w:val="24"/>
        </w:rPr>
        <w:t>25- Nguyên tắc và phương pháp ghi nhận chi phí thuế thu nhập doanh nghiệp hiện hành, chi phí thuế thu nhập doanh nghiệp hoãn lại:</w:t>
      </w:r>
    </w:p>
    <w:p w:rsidR="003439CE" w:rsidRPr="0075535E" w:rsidRDefault="003439CE" w:rsidP="00C748D9">
      <w:pPr>
        <w:pStyle w:val="BodyTextIndent"/>
        <w:spacing w:before="120" w:after="120" w:line="245" w:lineRule="auto"/>
        <w:rPr>
          <w:rFonts w:ascii="Times New Roman" w:hAnsi="Times New Roman"/>
          <w:szCs w:val="24"/>
        </w:rPr>
      </w:pPr>
      <w:r w:rsidRPr="0075535E">
        <w:rPr>
          <w:rFonts w:ascii="Times New Roman" w:hAnsi="Times New Roman"/>
          <w:bCs w:val="0"/>
          <w:szCs w:val="24"/>
        </w:rPr>
        <w:t xml:space="preserve">       - </w:t>
      </w:r>
      <w:r w:rsidRPr="0075535E">
        <w:rPr>
          <w:rFonts w:ascii="Times New Roman" w:hAnsi="Times New Roman"/>
          <w:szCs w:val="24"/>
        </w:rPr>
        <w:t>Thuế thu nhập doanh nghiệp thể hiện tổng giá trị của số thuế phải trả hiện tại và số thuế hoãn lại.</w:t>
      </w:r>
    </w:p>
    <w:p w:rsidR="003439CE" w:rsidRPr="0075535E" w:rsidRDefault="003439CE" w:rsidP="00C748D9">
      <w:pPr>
        <w:pStyle w:val="BodyTextIndent"/>
        <w:spacing w:before="120" w:after="120" w:line="245" w:lineRule="auto"/>
        <w:ind w:firstLine="456"/>
        <w:rPr>
          <w:rFonts w:ascii="Times New Roman" w:hAnsi="Times New Roman"/>
          <w:spacing w:val="-2"/>
          <w:szCs w:val="24"/>
        </w:rPr>
      </w:pPr>
      <w:r w:rsidRPr="0075535E">
        <w:rPr>
          <w:rFonts w:ascii="Times New Roman" w:hAnsi="Times New Roman"/>
          <w:spacing w:val="-2"/>
          <w:szCs w:val="24"/>
        </w:rPr>
        <w:t>- 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3439CE" w:rsidRPr="0075535E" w:rsidRDefault="003439CE" w:rsidP="00C748D9">
      <w:pPr>
        <w:pStyle w:val="Level0"/>
        <w:tabs>
          <w:tab w:val="clear" w:pos="576"/>
          <w:tab w:val="clear" w:pos="1152"/>
          <w:tab w:val="clear" w:pos="1728"/>
          <w:tab w:val="clear" w:pos="2304"/>
        </w:tabs>
        <w:spacing w:after="120" w:line="245" w:lineRule="auto"/>
        <w:ind w:left="48" w:firstLine="504"/>
        <w:jc w:val="both"/>
        <w:rPr>
          <w:spacing w:val="-2"/>
          <w:sz w:val="24"/>
          <w:szCs w:val="24"/>
        </w:rPr>
      </w:pPr>
      <w:r w:rsidRPr="0075535E">
        <w:rPr>
          <w:sz w:val="24"/>
          <w:szCs w:val="24"/>
        </w:rPr>
        <w:t xml:space="preserve">- Công ty đang áp dụng theo Thông tư số 96/2015/TT-BTC ngày 22/06/2015 của Bộ Tài chính hướng dẫn thi hành Nghị định số 12/2015/NĐ-CP ngày 12/02/2015 của Chính phủ qui định chi tiết thi hành Luật sửa đổi bổ sung một số điều các Luật về thuế và sửa đổi bổ sung một số điều của Thông tư số 78/2014/TT-BTC ngày 18/06/2014 về hướng dẫn thi hành Luật thuế thu nhập doanh nghiệp và các văn bản sửa đổi, bổ sung khác có liên quan. Hiện tại đơn vị đang áp dụng mức thuế suất thuế thu nhập doanh nghiệp là 20%. </w:t>
      </w:r>
    </w:p>
    <w:p w:rsidR="003439CE" w:rsidRPr="0075535E" w:rsidRDefault="003439CE" w:rsidP="00C748D9">
      <w:pPr>
        <w:pStyle w:val="BodyTextIndent"/>
        <w:spacing w:before="120" w:after="120" w:line="245" w:lineRule="auto"/>
        <w:ind w:firstLine="552"/>
        <w:rPr>
          <w:rFonts w:ascii="Times New Roman" w:hAnsi="Times New Roman"/>
          <w:szCs w:val="24"/>
        </w:rPr>
      </w:pPr>
      <w:r w:rsidRPr="0075535E">
        <w:rPr>
          <w:rFonts w:ascii="Times New Roman" w:eastAsia="PMingLiU" w:hAnsi="Times New Roman"/>
          <w:szCs w:val="24"/>
          <w:lang w:val="en-GB"/>
        </w:rPr>
        <w:lastRenderedPageBreak/>
        <w:t xml:space="preserve">- 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 </w:t>
      </w:r>
      <w:r w:rsidRPr="0075535E">
        <w:rPr>
          <w:rFonts w:ascii="Times New Roman" w:hAnsi="Times New Roman"/>
          <w:szCs w:val="24"/>
        </w:rPr>
        <w:tab/>
      </w:r>
    </w:p>
    <w:p w:rsidR="003439CE" w:rsidRPr="0075535E" w:rsidRDefault="003439CE" w:rsidP="00C748D9">
      <w:pPr>
        <w:pStyle w:val="BodyTextIndent"/>
        <w:spacing w:before="120" w:after="120" w:line="245" w:lineRule="auto"/>
        <w:ind w:firstLine="552"/>
        <w:rPr>
          <w:rFonts w:ascii="Times New Roman" w:hAnsi="Times New Roman"/>
          <w:szCs w:val="24"/>
        </w:rPr>
      </w:pPr>
      <w:r w:rsidRPr="0075535E">
        <w:rPr>
          <w:rFonts w:ascii="Times New Roman" w:eastAsia="PMingLiU" w:hAnsi="Times New Roman"/>
          <w:szCs w:val="24"/>
          <w:lang w:val="en-GB"/>
        </w:rPr>
        <w:t>- 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trừ trường hợp khoản thuế đó có liên quan đến các khoản mục được ghi thẳng vào vốn chủ sở hữu. Trong trường hợp đó, thuế thu nhập hoãn lại cũng được ghi thẳng vào vốn chủ sở hữu.</w:t>
      </w:r>
    </w:p>
    <w:p w:rsidR="003439CE" w:rsidRPr="0075535E" w:rsidRDefault="003439CE" w:rsidP="00C748D9">
      <w:pPr>
        <w:pStyle w:val="BodyTextIndent"/>
        <w:spacing w:before="120" w:after="120" w:line="245" w:lineRule="auto"/>
        <w:ind w:firstLine="552"/>
        <w:rPr>
          <w:rFonts w:ascii="Times New Roman" w:hAnsi="Times New Roman"/>
          <w:szCs w:val="24"/>
        </w:rPr>
      </w:pPr>
      <w:r w:rsidRPr="0075535E">
        <w:rPr>
          <w:rFonts w:ascii="Times New Roman" w:hAnsi="Times New Roman"/>
          <w:szCs w:val="24"/>
        </w:rPr>
        <w:t>- 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3439CE" w:rsidRPr="0075535E" w:rsidRDefault="003439CE" w:rsidP="00C748D9">
      <w:pPr>
        <w:pStyle w:val="Level0"/>
        <w:tabs>
          <w:tab w:val="clear" w:pos="576"/>
          <w:tab w:val="clear" w:pos="1152"/>
          <w:tab w:val="clear" w:pos="1728"/>
          <w:tab w:val="clear" w:pos="2304"/>
        </w:tabs>
        <w:spacing w:after="120" w:line="245" w:lineRule="auto"/>
        <w:ind w:left="0" w:firstLine="552"/>
        <w:jc w:val="both"/>
        <w:rPr>
          <w:sz w:val="24"/>
          <w:szCs w:val="24"/>
        </w:rPr>
      </w:pPr>
      <w:r w:rsidRPr="0075535E">
        <w:rPr>
          <w:sz w:val="24"/>
          <w:szCs w:val="24"/>
        </w:rPr>
        <w:t>Các loại thuế khác được áp dụng theo các luật thuế hiện hành tại Việt Nam.</w:t>
      </w:r>
    </w:p>
    <w:p w:rsidR="003439CE" w:rsidRPr="0075535E" w:rsidRDefault="003439CE" w:rsidP="00C748D9">
      <w:pPr>
        <w:pStyle w:val="Level0"/>
        <w:tabs>
          <w:tab w:val="clear" w:pos="576"/>
          <w:tab w:val="clear" w:pos="1152"/>
          <w:tab w:val="clear" w:pos="1728"/>
          <w:tab w:val="clear" w:pos="2304"/>
        </w:tabs>
        <w:spacing w:after="120" w:line="245" w:lineRule="auto"/>
        <w:ind w:left="0" w:firstLine="552"/>
        <w:jc w:val="both"/>
        <w:rPr>
          <w:b/>
          <w:sz w:val="24"/>
          <w:szCs w:val="24"/>
        </w:rPr>
      </w:pPr>
      <w:r w:rsidRPr="0075535E">
        <w:rPr>
          <w:b/>
          <w:sz w:val="24"/>
          <w:szCs w:val="24"/>
        </w:rPr>
        <w:t>26-Các nguyên tắc và phương pháp kế toán khác.</w:t>
      </w:r>
    </w:p>
    <w:p w:rsidR="003439CE" w:rsidRPr="0075535E" w:rsidRDefault="003439CE" w:rsidP="00C748D9">
      <w:pPr>
        <w:pStyle w:val="Level0"/>
        <w:tabs>
          <w:tab w:val="clear" w:pos="576"/>
          <w:tab w:val="clear" w:pos="1152"/>
          <w:tab w:val="clear" w:pos="1728"/>
          <w:tab w:val="clear" w:pos="2304"/>
        </w:tabs>
        <w:spacing w:after="120" w:line="245" w:lineRule="auto"/>
        <w:ind w:left="0" w:firstLine="552"/>
        <w:jc w:val="both"/>
        <w:rPr>
          <w:b/>
          <w:sz w:val="24"/>
          <w:szCs w:val="24"/>
        </w:rPr>
      </w:pPr>
      <w:r w:rsidRPr="0075535E">
        <w:rPr>
          <w:b/>
          <w:sz w:val="24"/>
          <w:szCs w:val="24"/>
        </w:rPr>
        <w:t xml:space="preserve">     Người lập biểu                           Kế toán trưởng                                Tổng giám đốc</w:t>
      </w:r>
    </w:p>
    <w:p w:rsidR="003439CE" w:rsidRPr="0075535E" w:rsidRDefault="003439CE" w:rsidP="00C748D9">
      <w:pPr>
        <w:rPr>
          <w:rFonts w:ascii="Times New Roman" w:hAnsi="Times New Roman"/>
          <w:sz w:val="24"/>
          <w:szCs w:val="24"/>
          <w:lang w:val="en-GB"/>
        </w:rPr>
      </w:pPr>
    </w:p>
    <w:p w:rsidR="003439CE" w:rsidRPr="0075535E" w:rsidRDefault="003439CE" w:rsidP="00C748D9">
      <w:pPr>
        <w:rPr>
          <w:rFonts w:ascii="Times New Roman" w:hAnsi="Times New Roman"/>
          <w:sz w:val="24"/>
          <w:szCs w:val="24"/>
          <w:lang w:val="en-GB"/>
        </w:rPr>
      </w:pPr>
    </w:p>
    <w:p w:rsidR="003439CE" w:rsidRPr="0075535E" w:rsidRDefault="003439CE" w:rsidP="00C748D9">
      <w:pPr>
        <w:rPr>
          <w:rFonts w:ascii="Times New Roman" w:hAnsi="Times New Roman"/>
          <w:sz w:val="24"/>
          <w:szCs w:val="24"/>
          <w:lang w:val="en-GB"/>
        </w:rPr>
      </w:pPr>
    </w:p>
    <w:p w:rsidR="003439CE" w:rsidRPr="0075535E" w:rsidRDefault="003439CE" w:rsidP="00B55196">
      <w:pPr>
        <w:ind w:firstLine="720"/>
        <w:rPr>
          <w:rFonts w:ascii="Times New Roman" w:hAnsi="Times New Roman"/>
          <w:b w:val="0"/>
          <w:sz w:val="24"/>
          <w:szCs w:val="24"/>
          <w:lang w:val="en-GB"/>
        </w:rPr>
      </w:pPr>
      <w:r w:rsidRPr="0075535E">
        <w:rPr>
          <w:rFonts w:ascii="Times New Roman" w:hAnsi="Times New Roman"/>
          <w:b w:val="0"/>
          <w:sz w:val="24"/>
          <w:szCs w:val="24"/>
          <w:lang w:val="en-GB"/>
        </w:rPr>
        <w:t>-Số chứng chỉ hành nghề;</w:t>
      </w:r>
    </w:p>
    <w:p w:rsidR="003439CE" w:rsidRPr="0075535E" w:rsidRDefault="003439CE" w:rsidP="00B55196">
      <w:pPr>
        <w:ind w:firstLine="720"/>
        <w:rPr>
          <w:rFonts w:ascii="Times New Roman" w:hAnsi="Times New Roman"/>
          <w:b w:val="0"/>
          <w:sz w:val="24"/>
          <w:szCs w:val="24"/>
          <w:lang w:val="en-GB"/>
        </w:rPr>
      </w:pPr>
      <w:r w:rsidRPr="0075535E">
        <w:rPr>
          <w:rFonts w:ascii="Times New Roman" w:hAnsi="Times New Roman"/>
          <w:b w:val="0"/>
          <w:sz w:val="24"/>
          <w:szCs w:val="24"/>
          <w:lang w:val="en-GB"/>
        </w:rPr>
        <w:t>-Đơn vị cung cấp dịch vụ kế toán.</w:t>
      </w:r>
    </w:p>
    <w:p w:rsidR="003439CE" w:rsidRPr="0075535E" w:rsidRDefault="003439CE" w:rsidP="00B55196">
      <w:pPr>
        <w:ind w:firstLine="720"/>
        <w:rPr>
          <w:rFonts w:ascii="Times New Roman" w:hAnsi="Times New Roman"/>
          <w:sz w:val="24"/>
          <w:szCs w:val="24"/>
          <w:lang w:val="en-GB"/>
        </w:rPr>
      </w:pPr>
    </w:p>
    <w:p w:rsidR="003439CE" w:rsidRPr="0075535E" w:rsidRDefault="003439CE" w:rsidP="00B55196">
      <w:pPr>
        <w:spacing w:before="120"/>
        <w:jc w:val="center"/>
        <w:rPr>
          <w:rFonts w:ascii="Times New Roman" w:hAnsi="Times New Roman"/>
          <w:b w:val="0"/>
          <w:sz w:val="24"/>
          <w:szCs w:val="24"/>
          <w:lang w:val="en-GB"/>
        </w:rPr>
      </w:pPr>
      <w:r w:rsidRPr="0075535E">
        <w:rPr>
          <w:rFonts w:ascii="Times New Roman" w:hAnsi="Times New Roman"/>
          <w:sz w:val="24"/>
          <w:szCs w:val="24"/>
        </w:rPr>
        <w:br w:type="page"/>
      </w:r>
    </w:p>
    <w:sectPr w:rsidR="003439CE" w:rsidRPr="0075535E" w:rsidSect="004E4501">
      <w:headerReference w:type="default" r:id="rId7"/>
      <w:footerReference w:type="default" r:id="rId8"/>
      <w:pgSz w:w="11909" w:h="16834" w:code="9"/>
      <w:pgMar w:top="1440" w:right="720" w:bottom="720" w:left="129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A9" w:rsidRDefault="00D63AA9">
      <w:r>
        <w:separator/>
      </w:r>
    </w:p>
  </w:endnote>
  <w:endnote w:type="continuationSeparator" w:id="0">
    <w:p w:rsidR="00D63AA9" w:rsidRDefault="00D6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CE" w:rsidRPr="0079602A" w:rsidRDefault="00AF195F">
    <w:pPr>
      <w:pStyle w:val="Footer"/>
      <w:rPr>
        <w:rFonts w:ascii="Arial" w:hAnsi="Arial" w:cs="Arial"/>
        <w:i/>
        <w:sz w:val="20"/>
      </w:rPr>
    </w:pPr>
    <w:r>
      <w:rPr>
        <w:noProof/>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-19051</wp:posOffset>
              </wp:positionV>
              <wp:extent cx="6309360" cy="0"/>
              <wp:effectExtent l="0" t="0" r="34290"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6619" id="Line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9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KM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JpemNKyCiUjsbkqNn9WKeNf3ukNJVS9SBR4qvFwP3slDM5M2VsHEGHtj3nzWDGHL0Otbp&#10;3NguQEIF0DnKcbnLwc8eUTicT9PldA6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"/>
          </w:pict>
        </mc:Fallback>
      </mc:AlternateContent>
    </w:r>
    <w:r w:rsidR="003439CE" w:rsidRPr="0079602A">
      <w:rPr>
        <w:i/>
        <w:sz w:val="20"/>
      </w:rPr>
      <w:t>Baín thuyãút minh naìy laì mäüt bäü pháûn cáúu thaình vaì âæåüc âoüc cuìng våïi Baïo caïo Taìi chênh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A9" w:rsidRDefault="00D63AA9">
      <w:r>
        <w:separator/>
      </w:r>
    </w:p>
  </w:footnote>
  <w:footnote w:type="continuationSeparator" w:id="0">
    <w:p w:rsidR="00D63AA9" w:rsidRDefault="00D6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CE" w:rsidRPr="005A1EE8" w:rsidRDefault="003439CE" w:rsidP="005A1EE8">
    <w:pPr>
      <w:pStyle w:val="Header"/>
      <w:tabs>
        <w:tab w:val="clear" w:pos="4320"/>
        <w:tab w:val="clear" w:pos="8640"/>
      </w:tabs>
      <w:rPr>
        <w:rFonts w:ascii="Times New Roman" w:hAnsi="Times New Roman"/>
        <w:bCs/>
        <w:sz w:val="22"/>
        <w:szCs w:val="22"/>
      </w:rPr>
    </w:pPr>
    <w:r w:rsidRPr="005A1EE8">
      <w:rPr>
        <w:rFonts w:ascii="Times New Roman" w:hAnsi="Times New Roman"/>
        <w:bCs/>
        <w:sz w:val="22"/>
        <w:szCs w:val="22"/>
      </w:rPr>
      <w:t xml:space="preserve">CÔNG TY </w:t>
    </w:r>
    <w:r>
      <w:rPr>
        <w:rFonts w:ascii="Times New Roman" w:hAnsi="Times New Roman"/>
        <w:bCs/>
        <w:sz w:val="22"/>
        <w:szCs w:val="22"/>
      </w:rPr>
      <w:t xml:space="preserve">TNHH MTV </w:t>
    </w:r>
    <w:r w:rsidRPr="005A1EE8">
      <w:rPr>
        <w:rFonts w:ascii="Times New Roman" w:hAnsi="Times New Roman"/>
        <w:bCs/>
        <w:sz w:val="22"/>
        <w:szCs w:val="22"/>
      </w:rPr>
      <w:t xml:space="preserve">CAO SU </w:t>
    </w:r>
    <w:smartTag w:uri="urn:schemas-microsoft-com:office:smarttags" w:element="place">
      <w:r w:rsidRPr="005A1EE8">
        <w:rPr>
          <w:rFonts w:ascii="Times New Roman" w:hAnsi="Times New Roman"/>
          <w:bCs/>
          <w:sz w:val="22"/>
          <w:szCs w:val="22"/>
        </w:rPr>
        <w:t>CHƯ</w:t>
      </w:r>
    </w:smartTag>
    <w:r w:rsidRPr="005A1EE8">
      <w:rPr>
        <w:rFonts w:ascii="Times New Roman" w:hAnsi="Times New Roman"/>
        <w:bCs/>
        <w:sz w:val="22"/>
        <w:szCs w:val="22"/>
      </w:rPr>
      <w:t xml:space="preserve"> SÊ</w:t>
    </w:r>
    <w:r>
      <w:rPr>
        <w:rFonts w:ascii="Times New Roman" w:hAnsi="Times New Roman"/>
        <w:bCs/>
        <w:sz w:val="22"/>
        <w:szCs w:val="22"/>
      </w:rPr>
      <w:tab/>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BÁO CÁO TÀI CHÍNH</w:t>
    </w:r>
  </w:p>
  <w:p w:rsidR="003439CE" w:rsidRPr="005A1EE8" w:rsidRDefault="003439CE" w:rsidP="005A1EE8">
    <w:pPr>
      <w:pStyle w:val="Header"/>
      <w:tabs>
        <w:tab w:val="clear" w:pos="4320"/>
        <w:tab w:val="clear" w:pos="8640"/>
      </w:tabs>
      <w:rPr>
        <w:rFonts w:ascii="Times New Roman" w:hAnsi="Times New Roman"/>
        <w:sz w:val="22"/>
        <w:szCs w:val="22"/>
      </w:rPr>
    </w:pPr>
    <w:r w:rsidRPr="005A1EE8">
      <w:rPr>
        <w:rFonts w:ascii="Times New Roman" w:hAnsi="Times New Roman"/>
        <w:sz w:val="22"/>
        <w:szCs w:val="22"/>
      </w:rPr>
      <w:t xml:space="preserve"> Địa chỉ: 420 Hùng Vương – </w:t>
    </w:r>
    <w:smartTag w:uri="urn:schemas-microsoft-com:office:smarttags" w:element="place">
      <w:r w:rsidRPr="005A1EE8">
        <w:rPr>
          <w:rFonts w:ascii="Times New Roman" w:hAnsi="Times New Roman"/>
          <w:sz w:val="22"/>
          <w:szCs w:val="22"/>
        </w:rPr>
        <w:t>Chư</w:t>
      </w:r>
    </w:smartTag>
    <w:r w:rsidRPr="005A1EE8">
      <w:rPr>
        <w:rFonts w:ascii="Times New Roman" w:hAnsi="Times New Roman"/>
        <w:sz w:val="22"/>
        <w:szCs w:val="22"/>
      </w:rPr>
      <w:t xml:space="preserve"> Sê –Gia Lai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cho kỳ tài chính kết thúc ngày 31/12/202</w:t>
    </w:r>
    <w:r w:rsidR="007609F2">
      <w:rPr>
        <w:rFonts w:ascii="Times New Roman" w:hAnsi="Times New Roman"/>
        <w:sz w:val="22"/>
        <w:szCs w:val="22"/>
      </w:rPr>
      <w:t>1</w:t>
    </w:r>
  </w:p>
  <w:p w:rsidR="003439CE" w:rsidRDefault="00AF195F" w:rsidP="001724AA">
    <w:pPr>
      <w:pStyle w:val="Header"/>
      <w:tabs>
        <w:tab w:val="clear" w:pos="4320"/>
        <w:tab w:val="clear" w:pos="8640"/>
      </w:tabs>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-30480</wp:posOffset>
              </wp:positionH>
              <wp:positionV relativeFrom="paragraph">
                <wp:posOffset>121284</wp:posOffset>
              </wp:positionV>
              <wp:extent cx="6309360" cy="0"/>
              <wp:effectExtent l="0" t="0" r="3429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3ACB" id="Line 2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9.55pt" to="49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5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285520"/>
    <w:lvl w:ilvl="0">
      <w:start w:val="1"/>
      <w:numFmt w:val="bullet"/>
      <w:lvlText w:val=""/>
      <w:lvlJc w:val="left"/>
      <w:pPr>
        <w:tabs>
          <w:tab w:val="num" w:pos="360"/>
        </w:tabs>
        <w:ind w:left="360" w:hanging="360"/>
      </w:pPr>
      <w:rPr>
        <w:rFonts w:ascii="Symbol" w:hAnsi="Symbol" w:hint="default"/>
      </w:rPr>
    </w:lvl>
  </w:abstractNum>
  <w:abstractNum w:abstractNumId="1">
    <w:nsid w:val="0EA90C57"/>
    <w:multiLevelType w:val="hybridMultilevel"/>
    <w:tmpl w:val="290AE61C"/>
    <w:lvl w:ilvl="0" w:tplc="118C8510">
      <w:numFmt w:val="bullet"/>
      <w:lvlText w:val="+"/>
      <w:lvlJc w:val="left"/>
      <w:pPr>
        <w:tabs>
          <w:tab w:val="num" w:pos="1171"/>
        </w:tabs>
        <w:ind w:left="1171" w:hanging="454"/>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316A09"/>
    <w:multiLevelType w:val="hybridMultilevel"/>
    <w:tmpl w:val="62025768"/>
    <w:lvl w:ilvl="0" w:tplc="FD72B4D8">
      <w:start w:val="1"/>
      <w:numFmt w:val="bullet"/>
      <w:lvlText w:val="-"/>
      <w:lvlJc w:val="left"/>
      <w:pPr>
        <w:tabs>
          <w:tab w:val="num" w:pos="1429"/>
        </w:tabs>
        <w:ind w:left="1429"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nsid w:val="13902FA9"/>
    <w:multiLevelType w:val="hybridMultilevel"/>
    <w:tmpl w:val="384E80D6"/>
    <w:lvl w:ilvl="0" w:tplc="118C8510">
      <w:numFmt w:val="bullet"/>
      <w:lvlText w:val="+"/>
      <w:lvlJc w:val="left"/>
      <w:pPr>
        <w:tabs>
          <w:tab w:val="num" w:pos="1171"/>
        </w:tabs>
        <w:ind w:left="1171" w:hanging="454"/>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D331C3C"/>
    <w:multiLevelType w:val="hybridMultilevel"/>
    <w:tmpl w:val="B3B0D9E8"/>
    <w:lvl w:ilvl="0" w:tplc="118C8510">
      <w:numFmt w:val="bullet"/>
      <w:lvlText w:val="+"/>
      <w:lvlJc w:val="left"/>
      <w:pPr>
        <w:tabs>
          <w:tab w:val="num" w:pos="1174"/>
        </w:tabs>
        <w:ind w:left="1174" w:hanging="454"/>
      </w:pPr>
      <w:rPr>
        <w:rFonts w:ascii="Times New Roman" w:eastAsia="Times New Roman" w:hAnsi="Times New Roman" w:hint="default"/>
      </w:rPr>
    </w:lvl>
    <w:lvl w:ilvl="1" w:tplc="04090019" w:tentative="1">
      <w:start w:val="1"/>
      <w:numFmt w:val="lowerLetter"/>
      <w:lvlText w:val="%2."/>
      <w:lvlJc w:val="left"/>
      <w:pPr>
        <w:tabs>
          <w:tab w:val="num" w:pos="1822"/>
        </w:tabs>
        <w:ind w:left="1822" w:hanging="360"/>
      </w:pPr>
      <w:rPr>
        <w:rFonts w:cs="Times New Roman"/>
      </w:rPr>
    </w:lvl>
    <w:lvl w:ilvl="2" w:tplc="0409001B" w:tentative="1">
      <w:start w:val="1"/>
      <w:numFmt w:val="lowerRoman"/>
      <w:lvlText w:val="%3."/>
      <w:lvlJc w:val="right"/>
      <w:pPr>
        <w:tabs>
          <w:tab w:val="num" w:pos="2542"/>
        </w:tabs>
        <w:ind w:left="2542" w:hanging="180"/>
      </w:pPr>
      <w:rPr>
        <w:rFonts w:cs="Times New Roman"/>
      </w:rPr>
    </w:lvl>
    <w:lvl w:ilvl="3" w:tplc="0409000F" w:tentative="1">
      <w:start w:val="1"/>
      <w:numFmt w:val="decimal"/>
      <w:lvlText w:val="%4."/>
      <w:lvlJc w:val="left"/>
      <w:pPr>
        <w:tabs>
          <w:tab w:val="num" w:pos="3262"/>
        </w:tabs>
        <w:ind w:left="3262" w:hanging="360"/>
      </w:pPr>
      <w:rPr>
        <w:rFonts w:cs="Times New Roman"/>
      </w:rPr>
    </w:lvl>
    <w:lvl w:ilvl="4" w:tplc="04090019" w:tentative="1">
      <w:start w:val="1"/>
      <w:numFmt w:val="lowerLetter"/>
      <w:lvlText w:val="%5."/>
      <w:lvlJc w:val="left"/>
      <w:pPr>
        <w:tabs>
          <w:tab w:val="num" w:pos="3982"/>
        </w:tabs>
        <w:ind w:left="3982" w:hanging="360"/>
      </w:pPr>
      <w:rPr>
        <w:rFonts w:cs="Times New Roman"/>
      </w:rPr>
    </w:lvl>
    <w:lvl w:ilvl="5" w:tplc="0409001B" w:tentative="1">
      <w:start w:val="1"/>
      <w:numFmt w:val="lowerRoman"/>
      <w:lvlText w:val="%6."/>
      <w:lvlJc w:val="right"/>
      <w:pPr>
        <w:tabs>
          <w:tab w:val="num" w:pos="4702"/>
        </w:tabs>
        <w:ind w:left="4702" w:hanging="180"/>
      </w:pPr>
      <w:rPr>
        <w:rFonts w:cs="Times New Roman"/>
      </w:rPr>
    </w:lvl>
    <w:lvl w:ilvl="6" w:tplc="0409000F" w:tentative="1">
      <w:start w:val="1"/>
      <w:numFmt w:val="decimal"/>
      <w:lvlText w:val="%7."/>
      <w:lvlJc w:val="left"/>
      <w:pPr>
        <w:tabs>
          <w:tab w:val="num" w:pos="5422"/>
        </w:tabs>
        <w:ind w:left="5422" w:hanging="360"/>
      </w:pPr>
      <w:rPr>
        <w:rFonts w:cs="Times New Roman"/>
      </w:rPr>
    </w:lvl>
    <w:lvl w:ilvl="7" w:tplc="04090019" w:tentative="1">
      <w:start w:val="1"/>
      <w:numFmt w:val="lowerLetter"/>
      <w:lvlText w:val="%8."/>
      <w:lvlJc w:val="left"/>
      <w:pPr>
        <w:tabs>
          <w:tab w:val="num" w:pos="6142"/>
        </w:tabs>
        <w:ind w:left="6142" w:hanging="360"/>
      </w:pPr>
      <w:rPr>
        <w:rFonts w:cs="Times New Roman"/>
      </w:rPr>
    </w:lvl>
    <w:lvl w:ilvl="8" w:tplc="0409001B" w:tentative="1">
      <w:start w:val="1"/>
      <w:numFmt w:val="lowerRoman"/>
      <w:lvlText w:val="%9."/>
      <w:lvlJc w:val="right"/>
      <w:pPr>
        <w:tabs>
          <w:tab w:val="num" w:pos="6862"/>
        </w:tabs>
        <w:ind w:left="6862" w:hanging="180"/>
      </w:pPr>
      <w:rPr>
        <w:rFonts w:cs="Times New Roman"/>
      </w:rPr>
    </w:lvl>
  </w:abstractNum>
  <w:abstractNum w:abstractNumId="5">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56E00743"/>
    <w:multiLevelType w:val="hybridMultilevel"/>
    <w:tmpl w:val="7AAA4D48"/>
    <w:lvl w:ilvl="0" w:tplc="118C8510">
      <w:numFmt w:val="bullet"/>
      <w:lvlText w:val="+"/>
      <w:lvlJc w:val="left"/>
      <w:pPr>
        <w:tabs>
          <w:tab w:val="num" w:pos="1174"/>
        </w:tabs>
        <w:ind w:left="1174" w:hanging="454"/>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A34634"/>
    <w:multiLevelType w:val="hybridMultilevel"/>
    <w:tmpl w:val="EEA61DF0"/>
    <w:lvl w:ilvl="0" w:tplc="A0E26C04">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8"/>
  </w:num>
  <w:num w:numId="5">
    <w:abstractNumId w:val="7"/>
  </w:num>
  <w:num w:numId="6">
    <w:abstractNumId w:val="5"/>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1C"/>
    <w:rsid w:val="00000FA3"/>
    <w:rsid w:val="00044C64"/>
    <w:rsid w:val="00052D4D"/>
    <w:rsid w:val="000608C7"/>
    <w:rsid w:val="00070A96"/>
    <w:rsid w:val="000775BB"/>
    <w:rsid w:val="00093D39"/>
    <w:rsid w:val="000A3DB2"/>
    <w:rsid w:val="000C1FE6"/>
    <w:rsid w:val="000C4B0D"/>
    <w:rsid w:val="000D34DB"/>
    <w:rsid w:val="000E0869"/>
    <w:rsid w:val="0010101B"/>
    <w:rsid w:val="0010386A"/>
    <w:rsid w:val="00111380"/>
    <w:rsid w:val="00143E6A"/>
    <w:rsid w:val="001654C6"/>
    <w:rsid w:val="001708E8"/>
    <w:rsid w:val="001724AA"/>
    <w:rsid w:val="001C4F20"/>
    <w:rsid w:val="001C7A32"/>
    <w:rsid w:val="001D3D86"/>
    <w:rsid w:val="001D55C5"/>
    <w:rsid w:val="00202827"/>
    <w:rsid w:val="002052C7"/>
    <w:rsid w:val="00211BE3"/>
    <w:rsid w:val="002517F3"/>
    <w:rsid w:val="00256BA0"/>
    <w:rsid w:val="00260A90"/>
    <w:rsid w:val="00270093"/>
    <w:rsid w:val="00277429"/>
    <w:rsid w:val="0028511B"/>
    <w:rsid w:val="00292AAD"/>
    <w:rsid w:val="002A088C"/>
    <w:rsid w:val="002A1134"/>
    <w:rsid w:val="002A2A56"/>
    <w:rsid w:val="002B0E49"/>
    <w:rsid w:val="002B6BDE"/>
    <w:rsid w:val="002D1796"/>
    <w:rsid w:val="00300B59"/>
    <w:rsid w:val="00315A98"/>
    <w:rsid w:val="003164D1"/>
    <w:rsid w:val="0032279A"/>
    <w:rsid w:val="003439CE"/>
    <w:rsid w:val="00365D52"/>
    <w:rsid w:val="00381E1C"/>
    <w:rsid w:val="00382169"/>
    <w:rsid w:val="00384F16"/>
    <w:rsid w:val="00393EB8"/>
    <w:rsid w:val="00395FD0"/>
    <w:rsid w:val="003A781D"/>
    <w:rsid w:val="003B5F52"/>
    <w:rsid w:val="003C2924"/>
    <w:rsid w:val="003F23DF"/>
    <w:rsid w:val="003F37F4"/>
    <w:rsid w:val="003F6018"/>
    <w:rsid w:val="00407276"/>
    <w:rsid w:val="00424FC7"/>
    <w:rsid w:val="00437F1B"/>
    <w:rsid w:val="00461A60"/>
    <w:rsid w:val="0046268D"/>
    <w:rsid w:val="00464A34"/>
    <w:rsid w:val="00470685"/>
    <w:rsid w:val="00472B61"/>
    <w:rsid w:val="00473E25"/>
    <w:rsid w:val="004A4C8D"/>
    <w:rsid w:val="004B1B8F"/>
    <w:rsid w:val="004B2B5B"/>
    <w:rsid w:val="004C2679"/>
    <w:rsid w:val="004D1856"/>
    <w:rsid w:val="004E4501"/>
    <w:rsid w:val="00511C16"/>
    <w:rsid w:val="00522AB3"/>
    <w:rsid w:val="00525403"/>
    <w:rsid w:val="00535050"/>
    <w:rsid w:val="0054385A"/>
    <w:rsid w:val="0054769F"/>
    <w:rsid w:val="00557640"/>
    <w:rsid w:val="00561099"/>
    <w:rsid w:val="00582ABB"/>
    <w:rsid w:val="00596671"/>
    <w:rsid w:val="005A1EE8"/>
    <w:rsid w:val="005C0FF3"/>
    <w:rsid w:val="005C11C7"/>
    <w:rsid w:val="005C6D88"/>
    <w:rsid w:val="005D1548"/>
    <w:rsid w:val="005E1C4F"/>
    <w:rsid w:val="005E6C0E"/>
    <w:rsid w:val="005E7CEE"/>
    <w:rsid w:val="00600346"/>
    <w:rsid w:val="00606E25"/>
    <w:rsid w:val="00607469"/>
    <w:rsid w:val="00610C14"/>
    <w:rsid w:val="00613974"/>
    <w:rsid w:val="00631CC2"/>
    <w:rsid w:val="006505A8"/>
    <w:rsid w:val="00651C26"/>
    <w:rsid w:val="00661CBA"/>
    <w:rsid w:val="006838D3"/>
    <w:rsid w:val="00693848"/>
    <w:rsid w:val="006C40E3"/>
    <w:rsid w:val="006D4873"/>
    <w:rsid w:val="006F7A13"/>
    <w:rsid w:val="00707096"/>
    <w:rsid w:val="007135DE"/>
    <w:rsid w:val="00727A27"/>
    <w:rsid w:val="00731105"/>
    <w:rsid w:val="007409A0"/>
    <w:rsid w:val="0075535E"/>
    <w:rsid w:val="007609F2"/>
    <w:rsid w:val="00765933"/>
    <w:rsid w:val="0079602A"/>
    <w:rsid w:val="007A2A13"/>
    <w:rsid w:val="007C77DF"/>
    <w:rsid w:val="00800372"/>
    <w:rsid w:val="008021E7"/>
    <w:rsid w:val="008138FA"/>
    <w:rsid w:val="00821578"/>
    <w:rsid w:val="00832C51"/>
    <w:rsid w:val="00850EED"/>
    <w:rsid w:val="00853062"/>
    <w:rsid w:val="00855A70"/>
    <w:rsid w:val="00855F76"/>
    <w:rsid w:val="00885B37"/>
    <w:rsid w:val="00891FD7"/>
    <w:rsid w:val="008C69BD"/>
    <w:rsid w:val="008F3D8B"/>
    <w:rsid w:val="00901E7F"/>
    <w:rsid w:val="00902ECB"/>
    <w:rsid w:val="00983751"/>
    <w:rsid w:val="00986962"/>
    <w:rsid w:val="00991ECA"/>
    <w:rsid w:val="009A3595"/>
    <w:rsid w:val="009B7E5B"/>
    <w:rsid w:val="009E339A"/>
    <w:rsid w:val="00A00DD2"/>
    <w:rsid w:val="00A114EC"/>
    <w:rsid w:val="00A33A01"/>
    <w:rsid w:val="00A34340"/>
    <w:rsid w:val="00A5282D"/>
    <w:rsid w:val="00A60DBF"/>
    <w:rsid w:val="00A7506C"/>
    <w:rsid w:val="00A93B71"/>
    <w:rsid w:val="00AD3325"/>
    <w:rsid w:val="00AD6B7C"/>
    <w:rsid w:val="00AE7231"/>
    <w:rsid w:val="00AF135A"/>
    <w:rsid w:val="00AF195F"/>
    <w:rsid w:val="00B2500A"/>
    <w:rsid w:val="00B27DB5"/>
    <w:rsid w:val="00B35F0A"/>
    <w:rsid w:val="00B55196"/>
    <w:rsid w:val="00B61CB4"/>
    <w:rsid w:val="00B651BC"/>
    <w:rsid w:val="00B80783"/>
    <w:rsid w:val="00BA5918"/>
    <w:rsid w:val="00BB51A9"/>
    <w:rsid w:val="00BB7612"/>
    <w:rsid w:val="00BC10F4"/>
    <w:rsid w:val="00BF28E4"/>
    <w:rsid w:val="00C0664E"/>
    <w:rsid w:val="00C30F84"/>
    <w:rsid w:val="00C439C8"/>
    <w:rsid w:val="00C44BC9"/>
    <w:rsid w:val="00C57427"/>
    <w:rsid w:val="00C62F4C"/>
    <w:rsid w:val="00C707F8"/>
    <w:rsid w:val="00C748D9"/>
    <w:rsid w:val="00C8017E"/>
    <w:rsid w:val="00C8761C"/>
    <w:rsid w:val="00C92476"/>
    <w:rsid w:val="00C95250"/>
    <w:rsid w:val="00C9665A"/>
    <w:rsid w:val="00C972CD"/>
    <w:rsid w:val="00CA116C"/>
    <w:rsid w:val="00CA1759"/>
    <w:rsid w:val="00CA2C7F"/>
    <w:rsid w:val="00CB3DA8"/>
    <w:rsid w:val="00CB6049"/>
    <w:rsid w:val="00CB7D00"/>
    <w:rsid w:val="00CD36BA"/>
    <w:rsid w:val="00CE2B38"/>
    <w:rsid w:val="00CE2D7D"/>
    <w:rsid w:val="00D1342C"/>
    <w:rsid w:val="00D24B46"/>
    <w:rsid w:val="00D27656"/>
    <w:rsid w:val="00D27932"/>
    <w:rsid w:val="00D36A68"/>
    <w:rsid w:val="00D44D57"/>
    <w:rsid w:val="00D61B0A"/>
    <w:rsid w:val="00D63AA9"/>
    <w:rsid w:val="00D63D86"/>
    <w:rsid w:val="00D71C31"/>
    <w:rsid w:val="00D95FF4"/>
    <w:rsid w:val="00DB2E45"/>
    <w:rsid w:val="00DC18BB"/>
    <w:rsid w:val="00DC427C"/>
    <w:rsid w:val="00DD1B38"/>
    <w:rsid w:val="00DD20D3"/>
    <w:rsid w:val="00DF01CF"/>
    <w:rsid w:val="00E00B08"/>
    <w:rsid w:val="00E06EFB"/>
    <w:rsid w:val="00E237C1"/>
    <w:rsid w:val="00E255F3"/>
    <w:rsid w:val="00E36D15"/>
    <w:rsid w:val="00E411B6"/>
    <w:rsid w:val="00E52F0A"/>
    <w:rsid w:val="00E6279F"/>
    <w:rsid w:val="00E72D00"/>
    <w:rsid w:val="00E76AD7"/>
    <w:rsid w:val="00E84CE4"/>
    <w:rsid w:val="00E8651D"/>
    <w:rsid w:val="00E86826"/>
    <w:rsid w:val="00E9254C"/>
    <w:rsid w:val="00EA77A9"/>
    <w:rsid w:val="00EB2AA1"/>
    <w:rsid w:val="00EC1DC9"/>
    <w:rsid w:val="00EC3C12"/>
    <w:rsid w:val="00ED00DE"/>
    <w:rsid w:val="00EE4168"/>
    <w:rsid w:val="00EE791D"/>
    <w:rsid w:val="00EF38F4"/>
    <w:rsid w:val="00EF3B35"/>
    <w:rsid w:val="00EF70C0"/>
    <w:rsid w:val="00F025BD"/>
    <w:rsid w:val="00F0641F"/>
    <w:rsid w:val="00F25CD6"/>
    <w:rsid w:val="00F2603B"/>
    <w:rsid w:val="00F33B16"/>
    <w:rsid w:val="00F4477F"/>
    <w:rsid w:val="00F47AE0"/>
    <w:rsid w:val="00F56E9F"/>
    <w:rsid w:val="00F75A9F"/>
    <w:rsid w:val="00F76BCC"/>
    <w:rsid w:val="00F80D18"/>
    <w:rsid w:val="00F93E91"/>
    <w:rsid w:val="00F944E4"/>
    <w:rsid w:val="00FA5FE9"/>
    <w:rsid w:val="00F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5:docId w15:val="{822BC084-F171-4F17-9B85-3000CE95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BD"/>
    <w:rPr>
      <w:rFonts w:ascii="VNtimes new roman" w:hAnsi="VNtimes new roman"/>
      <w:b/>
      <w:sz w:val="26"/>
    </w:rPr>
  </w:style>
  <w:style w:type="paragraph" w:styleId="Heading1">
    <w:name w:val="heading 1"/>
    <w:basedOn w:val="Normal"/>
    <w:next w:val="Normal"/>
    <w:link w:val="Heading1Char"/>
    <w:uiPriority w:val="99"/>
    <w:qFormat/>
    <w:rsid w:val="00F025BD"/>
    <w:pPr>
      <w:keepNext/>
      <w:outlineLvl w:val="0"/>
    </w:pPr>
    <w:rPr>
      <w:sz w:val="24"/>
    </w:rPr>
  </w:style>
  <w:style w:type="paragraph" w:styleId="Heading2">
    <w:name w:val="heading 2"/>
    <w:basedOn w:val="Normal"/>
    <w:next w:val="Normal"/>
    <w:link w:val="Heading2Char"/>
    <w:uiPriority w:val="99"/>
    <w:qFormat/>
    <w:rsid w:val="00F025BD"/>
    <w:pPr>
      <w:keepNext/>
      <w:outlineLvl w:val="1"/>
    </w:pPr>
    <w:rPr>
      <w:b w:val="0"/>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67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61672"/>
    <w:rPr>
      <w:rFonts w:ascii="Cambria" w:eastAsia="Times New Roman" w:hAnsi="Cambria" w:cs="Times New Roman"/>
      <w:b/>
      <w:bCs/>
      <w:i/>
      <w:iCs/>
      <w:sz w:val="28"/>
      <w:szCs w:val="28"/>
    </w:rPr>
  </w:style>
  <w:style w:type="paragraph" w:styleId="ListBullet">
    <w:name w:val="List Bullet"/>
    <w:basedOn w:val="Normal"/>
    <w:autoRedefine/>
    <w:uiPriority w:val="99"/>
    <w:rsid w:val="00F025BD"/>
    <w:pPr>
      <w:tabs>
        <w:tab w:val="num" w:pos="360"/>
      </w:tabs>
      <w:ind w:left="360" w:hanging="360"/>
    </w:pPr>
  </w:style>
  <w:style w:type="paragraph" w:styleId="BodyText">
    <w:name w:val="Body Text"/>
    <w:basedOn w:val="Normal"/>
    <w:link w:val="BodyTextChar"/>
    <w:uiPriority w:val="99"/>
    <w:rsid w:val="00F025BD"/>
    <w:pPr>
      <w:tabs>
        <w:tab w:val="left" w:pos="384"/>
      </w:tabs>
      <w:jc w:val="both"/>
    </w:pPr>
    <w:rPr>
      <w:b w:val="0"/>
      <w:bCs/>
      <w:sz w:val="24"/>
    </w:rPr>
  </w:style>
  <w:style w:type="character" w:customStyle="1" w:styleId="BodyTextChar">
    <w:name w:val="Body Text Char"/>
    <w:link w:val="BodyText"/>
    <w:uiPriority w:val="99"/>
    <w:semiHidden/>
    <w:rsid w:val="00F61672"/>
    <w:rPr>
      <w:rFonts w:ascii="VNtimes new roman" w:hAnsi="VNtimes new roman"/>
      <w:b/>
      <w:sz w:val="26"/>
      <w:szCs w:val="20"/>
    </w:rPr>
  </w:style>
  <w:style w:type="paragraph" w:styleId="BodyText2">
    <w:name w:val="Body Text 2"/>
    <w:basedOn w:val="Normal"/>
    <w:link w:val="BodyText2Char"/>
    <w:uiPriority w:val="99"/>
    <w:rsid w:val="00F025BD"/>
    <w:pPr>
      <w:widowControl w:val="0"/>
      <w:overflowPunct w:val="0"/>
      <w:autoSpaceDE w:val="0"/>
      <w:autoSpaceDN w:val="0"/>
      <w:adjustRightInd w:val="0"/>
      <w:spacing w:before="120" w:after="60"/>
      <w:ind w:left="720"/>
      <w:jc w:val="both"/>
      <w:textAlignment w:val="baseline"/>
    </w:pPr>
    <w:rPr>
      <w:rFonts w:eastAsia="MS Mincho"/>
      <w:b w:val="0"/>
      <w:sz w:val="22"/>
    </w:rPr>
  </w:style>
  <w:style w:type="character" w:customStyle="1" w:styleId="BodyText2Char">
    <w:name w:val="Body Text 2 Char"/>
    <w:link w:val="BodyText2"/>
    <w:uiPriority w:val="99"/>
    <w:semiHidden/>
    <w:rsid w:val="00F61672"/>
    <w:rPr>
      <w:rFonts w:ascii="VNtimes new roman" w:hAnsi="VNtimes new roman"/>
      <w:b/>
      <w:sz w:val="26"/>
      <w:szCs w:val="20"/>
    </w:rPr>
  </w:style>
  <w:style w:type="paragraph" w:customStyle="1" w:styleId="par-1">
    <w:name w:val="par-1"/>
    <w:basedOn w:val="Normal"/>
    <w:uiPriority w:val="99"/>
    <w:rsid w:val="00F025BD"/>
    <w:pPr>
      <w:widowControl w:val="0"/>
      <w:overflowPunct w:val="0"/>
      <w:autoSpaceDE w:val="0"/>
      <w:autoSpaceDN w:val="0"/>
      <w:adjustRightInd w:val="0"/>
      <w:spacing w:before="240" w:after="60"/>
      <w:ind w:left="720"/>
      <w:jc w:val="both"/>
      <w:textAlignment w:val="baseline"/>
    </w:pPr>
    <w:rPr>
      <w:rFonts w:ascii="Times New Roman" w:eastAsia="MS Mincho" w:hAnsi="Times New Roman"/>
      <w:b w:val="0"/>
      <w:sz w:val="24"/>
    </w:rPr>
  </w:style>
  <w:style w:type="paragraph" w:styleId="BodyTextIndent">
    <w:name w:val="Body Text Indent"/>
    <w:basedOn w:val="Normal"/>
    <w:link w:val="BodyTextIndentChar"/>
    <w:uiPriority w:val="99"/>
    <w:rsid w:val="00F025BD"/>
    <w:pPr>
      <w:spacing w:before="200" w:after="200"/>
      <w:ind w:right="-23" w:firstLine="11"/>
      <w:jc w:val="both"/>
    </w:pPr>
    <w:rPr>
      <w:rFonts w:ascii=".VnTime" w:hAnsi=".VnTime"/>
      <w:b w:val="0"/>
      <w:bCs/>
      <w:iCs/>
      <w:sz w:val="24"/>
      <w:szCs w:val="22"/>
    </w:rPr>
  </w:style>
  <w:style w:type="character" w:customStyle="1" w:styleId="BodyTextIndentChar">
    <w:name w:val="Body Text Indent Char"/>
    <w:link w:val="BodyTextIndent"/>
    <w:uiPriority w:val="99"/>
    <w:semiHidden/>
    <w:rsid w:val="00F61672"/>
    <w:rPr>
      <w:rFonts w:ascii="VNtimes new roman" w:hAnsi="VNtimes new roman"/>
      <w:b/>
      <w:sz w:val="26"/>
      <w:szCs w:val="20"/>
    </w:rPr>
  </w:style>
  <w:style w:type="paragraph" w:styleId="BodyTextIndent2">
    <w:name w:val="Body Text Indent 2"/>
    <w:basedOn w:val="Normal"/>
    <w:link w:val="BodyTextIndent2Char"/>
    <w:uiPriority w:val="99"/>
    <w:rsid w:val="00F025BD"/>
    <w:pPr>
      <w:spacing w:before="60" w:after="60"/>
      <w:ind w:left="11" w:hanging="11"/>
      <w:jc w:val="both"/>
    </w:pPr>
    <w:rPr>
      <w:rFonts w:ascii=".VnTime" w:hAnsi=".VnTime"/>
      <w:b w:val="0"/>
      <w:bCs/>
      <w:sz w:val="24"/>
      <w:szCs w:val="22"/>
    </w:rPr>
  </w:style>
  <w:style w:type="character" w:customStyle="1" w:styleId="BodyTextIndent2Char">
    <w:name w:val="Body Text Indent 2 Char"/>
    <w:link w:val="BodyTextIndent2"/>
    <w:uiPriority w:val="99"/>
    <w:semiHidden/>
    <w:rsid w:val="00F61672"/>
    <w:rPr>
      <w:rFonts w:ascii="VNtimes new roman" w:hAnsi="VNtimes new roman"/>
      <w:b/>
      <w:sz w:val="26"/>
      <w:szCs w:val="20"/>
    </w:rPr>
  </w:style>
  <w:style w:type="paragraph" w:styleId="Header">
    <w:name w:val="header"/>
    <w:basedOn w:val="Normal"/>
    <w:link w:val="HeaderChar"/>
    <w:uiPriority w:val="99"/>
    <w:rsid w:val="00BF28E4"/>
    <w:pPr>
      <w:tabs>
        <w:tab w:val="center" w:pos="4320"/>
        <w:tab w:val="right" w:pos="8640"/>
      </w:tabs>
    </w:pPr>
  </w:style>
  <w:style w:type="character" w:customStyle="1" w:styleId="HeaderChar">
    <w:name w:val="Header Char"/>
    <w:link w:val="Header"/>
    <w:uiPriority w:val="99"/>
    <w:semiHidden/>
    <w:rsid w:val="00F61672"/>
    <w:rPr>
      <w:rFonts w:ascii="VNtimes new roman" w:hAnsi="VNtimes new roman"/>
      <w:b/>
      <w:sz w:val="26"/>
      <w:szCs w:val="20"/>
    </w:rPr>
  </w:style>
  <w:style w:type="paragraph" w:styleId="Footer">
    <w:name w:val="footer"/>
    <w:basedOn w:val="Normal"/>
    <w:link w:val="FooterChar"/>
    <w:uiPriority w:val="99"/>
    <w:rsid w:val="00BF28E4"/>
    <w:pPr>
      <w:tabs>
        <w:tab w:val="center" w:pos="4320"/>
        <w:tab w:val="right" w:pos="8640"/>
      </w:tabs>
    </w:pPr>
  </w:style>
  <w:style w:type="character" w:customStyle="1" w:styleId="FooterChar">
    <w:name w:val="Footer Char"/>
    <w:link w:val="Footer"/>
    <w:uiPriority w:val="99"/>
    <w:semiHidden/>
    <w:rsid w:val="00F61672"/>
    <w:rPr>
      <w:rFonts w:ascii="VNtimes new roman" w:hAnsi="VNtimes new roman"/>
      <w:b/>
      <w:sz w:val="26"/>
      <w:szCs w:val="20"/>
    </w:rPr>
  </w:style>
  <w:style w:type="character" w:styleId="PageNumber">
    <w:name w:val="page number"/>
    <w:uiPriority w:val="99"/>
    <w:rsid w:val="00BF28E4"/>
    <w:rPr>
      <w:rFonts w:cs="Times New Roman"/>
    </w:rPr>
  </w:style>
  <w:style w:type="paragraph" w:customStyle="1" w:styleId="Char">
    <w:name w:val="Char"/>
    <w:basedOn w:val="Normal"/>
    <w:uiPriority w:val="99"/>
    <w:rsid w:val="00BF28E4"/>
    <w:pPr>
      <w:spacing w:after="160" w:line="240" w:lineRule="exact"/>
    </w:pPr>
    <w:rPr>
      <w:rFonts w:ascii="Verdana" w:hAnsi="Verdana"/>
      <w:b w:val="0"/>
      <w:sz w:val="20"/>
      <w:lang w:val="en-GB"/>
    </w:rPr>
  </w:style>
  <w:style w:type="paragraph" w:customStyle="1" w:styleId="Level0">
    <w:name w:val="Level 0"/>
    <w:basedOn w:val="Normal"/>
    <w:uiPriority w:val="99"/>
    <w:rsid w:val="004D1856"/>
    <w:pPr>
      <w:tabs>
        <w:tab w:val="left" w:pos="576"/>
        <w:tab w:val="left" w:pos="1152"/>
        <w:tab w:val="left" w:pos="1728"/>
        <w:tab w:val="left" w:pos="2304"/>
      </w:tabs>
      <w:spacing w:before="120" w:line="240" w:lineRule="atLeast"/>
      <w:ind w:left="576" w:hanging="576"/>
    </w:pPr>
    <w:rPr>
      <w:rFonts w:ascii="Times New Roman" w:eastAsia="PMingLiU" w:hAnsi="Times New Roman"/>
      <w:b w:val="0"/>
      <w:sz w:val="18"/>
      <w:lang w:val="en-GB"/>
    </w:rPr>
  </w:style>
  <w:style w:type="paragraph" w:styleId="BalloonText">
    <w:name w:val="Balloon Text"/>
    <w:basedOn w:val="Normal"/>
    <w:link w:val="BalloonTextChar"/>
    <w:uiPriority w:val="99"/>
    <w:rsid w:val="002B6BDE"/>
    <w:rPr>
      <w:rFonts w:ascii="Tahoma" w:hAnsi="Tahoma"/>
      <w:sz w:val="16"/>
      <w:szCs w:val="16"/>
    </w:rPr>
  </w:style>
  <w:style w:type="character" w:customStyle="1" w:styleId="BalloonTextChar">
    <w:name w:val="Balloon Text Char"/>
    <w:link w:val="BalloonText"/>
    <w:uiPriority w:val="99"/>
    <w:locked/>
    <w:rsid w:val="002B6BDE"/>
    <w:rPr>
      <w:rFonts w:ascii="Tahoma" w:hAnsi="Tahom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Täøng Cäng ty Cao su Viãût Nam</vt:lpstr>
    </vt:vector>
  </TitlesOfParts>
  <Company>GIALAI</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Täøng Cäng ty Cao su Viãût Nam</dc:title>
  <dc:subject/>
  <dc:creator>CTY CAO SU CHU SE</dc:creator>
  <cp:keywords/>
  <dc:description/>
  <cp:lastModifiedBy>MyPC</cp:lastModifiedBy>
  <cp:revision>2</cp:revision>
  <cp:lastPrinted>2021-03-30T02:13:00Z</cp:lastPrinted>
  <dcterms:created xsi:type="dcterms:W3CDTF">2022-03-29T07:47:00Z</dcterms:created>
  <dcterms:modified xsi:type="dcterms:W3CDTF">2022-03-29T07:47:00Z</dcterms:modified>
</cp:coreProperties>
</file>