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58" w:rsidRPr="005B6B58" w:rsidRDefault="005B6B58" w:rsidP="005B6B58">
      <w:pPr>
        <w:spacing w:after="0" w:line="240" w:lineRule="auto"/>
        <w:contextualSpacing/>
        <w:jc w:val="center"/>
        <w:rPr>
          <w:rFonts w:asciiTheme="majorHAnsi" w:hAnsiTheme="majorHAnsi" w:cstheme="majorHAnsi"/>
          <w:sz w:val="26"/>
          <w:szCs w:val="26"/>
          <w:lang w:val="en-US"/>
        </w:rPr>
      </w:pPr>
      <w:r w:rsidRPr="005B6B58">
        <w:rPr>
          <w:rFonts w:asciiTheme="majorHAnsi" w:hAnsiTheme="majorHAnsi" w:cstheme="majorHAnsi"/>
          <w:sz w:val="26"/>
          <w:szCs w:val="26"/>
          <w:lang w:val="en-US"/>
        </w:rPr>
        <w:t>PHỤ LỤC X</w:t>
      </w:r>
    </w:p>
    <w:p w:rsidR="005B6B58" w:rsidRPr="005B6B58" w:rsidRDefault="005B6B58" w:rsidP="005B6B58">
      <w:pPr>
        <w:spacing w:after="0" w:line="240" w:lineRule="auto"/>
        <w:contextualSpacing/>
        <w:jc w:val="center"/>
        <w:rPr>
          <w:rFonts w:asciiTheme="majorHAnsi" w:hAnsiTheme="majorHAnsi" w:cstheme="majorHAnsi"/>
          <w:sz w:val="26"/>
          <w:szCs w:val="26"/>
          <w:lang w:val="en-US"/>
        </w:rPr>
      </w:pPr>
      <w:r w:rsidRPr="005B6B58">
        <w:rPr>
          <w:rFonts w:asciiTheme="majorHAnsi" w:hAnsiTheme="majorHAnsi" w:cstheme="majorHAnsi"/>
          <w:sz w:val="26"/>
          <w:szCs w:val="26"/>
          <w:lang w:val="en-US"/>
        </w:rPr>
        <w:t>BÁO CÁO CHẾ ĐỘ, TIỀN LƯƠNG, TIỀN THƯỞNG CỦA DOANH NGHIỆP</w:t>
      </w:r>
    </w:p>
    <w:p w:rsidR="005B6B58" w:rsidRPr="005B6B58" w:rsidRDefault="005B6B58" w:rsidP="005B6B58">
      <w:pPr>
        <w:spacing w:after="0" w:line="240" w:lineRule="auto"/>
        <w:contextualSpacing/>
        <w:jc w:val="center"/>
        <w:rPr>
          <w:rFonts w:asciiTheme="majorHAnsi" w:hAnsiTheme="majorHAnsi" w:cstheme="majorHAnsi"/>
          <w:i/>
          <w:sz w:val="26"/>
          <w:szCs w:val="26"/>
          <w:lang w:val="en-US"/>
        </w:rPr>
      </w:pPr>
      <w:r w:rsidRPr="005B6B58">
        <w:rPr>
          <w:rFonts w:asciiTheme="majorHAnsi" w:hAnsiTheme="majorHAnsi" w:cstheme="majorHAnsi"/>
          <w:i/>
          <w:sz w:val="26"/>
          <w:szCs w:val="26"/>
          <w:lang w:val="en-US"/>
        </w:rPr>
        <w:t>( Ban hành kèm theo Nghị định 81/2015/NĐ-CP ngày 18 tháng 09 năm 2015 của Chính phủ)</w:t>
      </w:r>
    </w:p>
    <w:p w:rsidR="005B6B58" w:rsidRPr="00C97806" w:rsidRDefault="005B6B58" w:rsidP="005B6B58">
      <w:pPr>
        <w:spacing w:after="0" w:line="240" w:lineRule="auto"/>
        <w:contextualSpacing/>
        <w:jc w:val="center"/>
        <w:rPr>
          <w:rFonts w:asciiTheme="majorHAnsi" w:hAnsiTheme="majorHAnsi" w:cstheme="majorHAnsi"/>
          <w:i/>
          <w:sz w:val="20"/>
          <w:szCs w:val="26"/>
          <w:lang w:val="en-US"/>
        </w:rPr>
      </w:pPr>
    </w:p>
    <w:p w:rsidR="005B6B58" w:rsidRPr="005B6B58" w:rsidRDefault="005B6B58" w:rsidP="005B6B58">
      <w:pPr>
        <w:spacing w:after="0" w:line="240" w:lineRule="auto"/>
        <w:contextualSpacing/>
        <w:rPr>
          <w:rFonts w:asciiTheme="majorHAnsi" w:hAnsiTheme="majorHAnsi" w:cstheme="majorHAnsi"/>
          <w:b/>
          <w:sz w:val="26"/>
          <w:szCs w:val="26"/>
          <w:lang w:val="en-US"/>
        </w:rPr>
      </w:pPr>
      <w:r w:rsidRPr="005B6B58">
        <w:rPr>
          <w:rFonts w:asciiTheme="majorHAnsi" w:hAnsiTheme="majorHAnsi" w:cstheme="majorHAnsi"/>
          <w:b/>
          <w:sz w:val="26"/>
          <w:szCs w:val="26"/>
          <w:lang w:val="en-US"/>
        </w:rPr>
        <w:t xml:space="preserve">          CÔNG TY TNHH MTV CAO SU CHƯ SÊ                                            CỘNG HÒA XÃ HỘI CHỦ NGHĨA VIỆT NAM</w:t>
      </w:r>
    </w:p>
    <w:p w:rsidR="005B6B58" w:rsidRPr="005B6B58" w:rsidRDefault="00A5263D" w:rsidP="005B6B58">
      <w:pPr>
        <w:spacing w:after="0" w:line="240" w:lineRule="auto"/>
        <w:contextualSpacing/>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r w:rsidR="005B6B58" w:rsidRPr="005B6B58">
        <w:rPr>
          <w:rFonts w:asciiTheme="majorHAnsi" w:hAnsiTheme="majorHAnsi" w:cstheme="majorHAnsi"/>
          <w:b/>
          <w:sz w:val="26"/>
          <w:szCs w:val="26"/>
          <w:lang w:val="en-US"/>
        </w:rPr>
        <w:t xml:space="preserve">MST: 5900190497                                                     </w:t>
      </w:r>
      <w:r>
        <w:rPr>
          <w:rFonts w:asciiTheme="majorHAnsi" w:hAnsiTheme="majorHAnsi" w:cstheme="majorHAnsi"/>
          <w:b/>
          <w:sz w:val="26"/>
          <w:szCs w:val="26"/>
          <w:lang w:val="en-US"/>
        </w:rPr>
        <w:t xml:space="preserve">                                    </w:t>
      </w:r>
      <w:r w:rsidR="005B6B58" w:rsidRPr="005B6B58">
        <w:rPr>
          <w:rFonts w:asciiTheme="majorHAnsi" w:hAnsiTheme="majorHAnsi" w:cstheme="majorHAnsi"/>
          <w:b/>
          <w:sz w:val="26"/>
          <w:szCs w:val="26"/>
          <w:lang w:val="en-US"/>
        </w:rPr>
        <w:t xml:space="preserve"> Độc lập – Tự do – Hạnh phúc</w:t>
      </w:r>
    </w:p>
    <w:p w:rsidR="005B6B58" w:rsidRPr="005B6B58" w:rsidRDefault="00A5263D" w:rsidP="005B6B58">
      <w:pPr>
        <w:spacing w:after="120" w:line="240" w:lineRule="auto"/>
        <w:rPr>
          <w:rFonts w:asciiTheme="majorHAnsi" w:hAnsiTheme="majorHAnsi" w:cstheme="majorHAnsi"/>
          <w:b/>
          <w:i/>
          <w:sz w:val="26"/>
          <w:szCs w:val="26"/>
          <w:lang w:val="en-US"/>
        </w:rPr>
      </w:pPr>
      <w:r w:rsidRPr="005A30CA">
        <w:rPr>
          <w:rFonts w:asciiTheme="majorHAnsi" w:hAnsiTheme="majorHAnsi" w:cstheme="majorHAnsi"/>
          <w:b/>
          <w:i/>
          <w:noProof/>
          <w:sz w:val="26"/>
          <w:szCs w:val="26"/>
          <w:lang w:eastAsia="vi-VN"/>
        </w:rPr>
        <w:pict>
          <v:line id="Straight Connector 2" o:spid="_x0000_s1026" style="position:absolute;z-index:251661312;visibility:visible" from="78.25pt,6.9pt" to="16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" strokecolor="#5b9bd5 [3204]" strokeweight=".5pt">
            <v:stroke joinstyle="miter"/>
          </v:line>
        </w:pict>
      </w:r>
      <w:r w:rsidRPr="005A30CA">
        <w:rPr>
          <w:rFonts w:asciiTheme="majorHAnsi" w:hAnsiTheme="majorHAnsi" w:cstheme="majorHAnsi"/>
          <w:b/>
          <w:i/>
          <w:noProof/>
          <w:sz w:val="26"/>
          <w:szCs w:val="26"/>
          <w:lang w:eastAsia="vi-VN"/>
        </w:rPr>
        <w:pict>
          <v:line id="Straight Connector 1" o:spid="_x0000_s1027" style="position:absolute;z-index:251659264;visibility:visible" from="472.05pt,6.9pt" to="612.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StgEAAMMDAAAOAAAAZHJzL2Uyb0RvYy54bWysU8Fu2zAMvQ/YPwi6L3YCdB2M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" strokecolor="#5b9bd5 [3204]" strokeweight=".5pt">
            <v:stroke joinstyle="miter"/>
          </v:line>
        </w:pict>
      </w:r>
    </w:p>
    <w:p w:rsidR="005B6B58" w:rsidRPr="005B6B58" w:rsidRDefault="005B6B58" w:rsidP="00A5263D">
      <w:pPr>
        <w:spacing w:after="60" w:line="240" w:lineRule="auto"/>
        <w:rPr>
          <w:rFonts w:asciiTheme="majorHAnsi" w:hAnsiTheme="majorHAnsi" w:cstheme="majorHAnsi"/>
          <w:b/>
          <w:sz w:val="26"/>
          <w:szCs w:val="26"/>
          <w:lang w:val="en-US"/>
        </w:rPr>
      </w:pPr>
      <w:r w:rsidRPr="005B6B58">
        <w:rPr>
          <w:rFonts w:asciiTheme="majorHAnsi" w:hAnsiTheme="majorHAnsi" w:cstheme="majorHAnsi"/>
          <w:b/>
          <w:sz w:val="26"/>
          <w:szCs w:val="26"/>
          <w:lang w:val="en-US"/>
        </w:rPr>
        <w:t>I.Chính sách tiền lương, tiền thưởng của doanh nghiệp:</w:t>
      </w:r>
    </w:p>
    <w:p w:rsidR="005B6B58" w:rsidRPr="005B6B58" w:rsidRDefault="005B6B58" w:rsidP="00A5263D">
      <w:pPr>
        <w:spacing w:after="60" w:line="240" w:lineRule="auto"/>
        <w:rPr>
          <w:rFonts w:asciiTheme="majorHAnsi" w:hAnsiTheme="majorHAnsi" w:cstheme="majorHAnsi"/>
          <w:b/>
          <w:sz w:val="26"/>
          <w:szCs w:val="26"/>
          <w:lang w:val="en-US"/>
        </w:rPr>
      </w:pPr>
      <w:r w:rsidRPr="005B6B58">
        <w:rPr>
          <w:rFonts w:asciiTheme="majorHAnsi" w:hAnsiTheme="majorHAnsi" w:cstheme="majorHAnsi"/>
          <w:b/>
          <w:sz w:val="26"/>
          <w:szCs w:val="26"/>
          <w:lang w:val="en-US"/>
        </w:rPr>
        <w:t>1.Nguyên tắc xác định lương, thưởng, thù lao của doanh nghiệp:</w:t>
      </w:r>
    </w:p>
    <w:p w:rsidR="005B6B58" w:rsidRPr="005B6B58" w:rsidRDefault="005B6B58" w:rsidP="00A5263D">
      <w:pPr>
        <w:spacing w:after="60" w:line="240" w:lineRule="auto"/>
        <w:rPr>
          <w:rFonts w:asciiTheme="majorHAnsi" w:hAnsiTheme="majorHAnsi" w:cstheme="majorHAnsi"/>
          <w:b/>
          <w:sz w:val="26"/>
          <w:szCs w:val="26"/>
          <w:lang w:val="en-US"/>
        </w:rPr>
      </w:pPr>
      <w:r w:rsidRPr="005B6B58">
        <w:rPr>
          <w:rFonts w:asciiTheme="majorHAnsi" w:hAnsiTheme="majorHAnsi" w:cstheme="majorHAnsi"/>
          <w:b/>
          <w:sz w:val="26"/>
          <w:szCs w:val="26"/>
          <w:lang w:val="en-US"/>
        </w:rPr>
        <w:t xml:space="preserve">a. Nguyên tắc xác định lương, thưởng đối với người lao động: </w:t>
      </w:r>
    </w:p>
    <w:p w:rsidR="005B6B58" w:rsidRPr="005B6B58" w:rsidRDefault="005B6B58" w:rsidP="00A5263D">
      <w:pPr>
        <w:spacing w:before="60" w:after="60" w:line="288" w:lineRule="auto"/>
        <w:ind w:firstLine="600"/>
        <w:jc w:val="both"/>
        <w:rPr>
          <w:rFonts w:ascii="Times New Roman" w:eastAsia="Times New Roman" w:hAnsi="Times New Roman" w:cs="Times New Roman"/>
          <w:sz w:val="26"/>
          <w:szCs w:val="26"/>
          <w:lang w:val="en-US"/>
        </w:rPr>
      </w:pPr>
      <w:r w:rsidRPr="005B6B58">
        <w:rPr>
          <w:rFonts w:ascii="Times New Roman" w:eastAsia="Times New Roman" w:hAnsi="Times New Roman" w:cs="Times New Roman"/>
          <w:sz w:val="26"/>
          <w:szCs w:val="26"/>
          <w:lang w:val="en-US"/>
        </w:rPr>
        <w:t>Căn cứ Thông tư số 26/2016/TT-BLĐTBXH ngày 01/09/2016 của Bộ Lao động - Thương binh và Xã hội hướng dẫn thực hiện Nghị định số 51/2016/NĐ-CP ngày 13/6/2016 của Chính phủ về việc quy định quản lý lao động, tiền lương và tiền thưởng đối với người lao động làm việc trong công ty TNHH MTV do nhà nước nắm giữ 100% vốn điều lệ;</w:t>
      </w:r>
    </w:p>
    <w:p w:rsidR="005B6B58" w:rsidRPr="007A2820" w:rsidRDefault="005B6B58" w:rsidP="00A5263D">
      <w:pPr>
        <w:spacing w:after="60" w:line="240" w:lineRule="auto"/>
        <w:ind w:firstLine="720"/>
        <w:jc w:val="both"/>
        <w:rPr>
          <w:rFonts w:asciiTheme="majorHAnsi" w:hAnsiTheme="majorHAnsi" w:cstheme="majorHAnsi"/>
          <w:color w:val="000000" w:themeColor="text1"/>
          <w:sz w:val="26"/>
          <w:szCs w:val="26"/>
        </w:rPr>
      </w:pPr>
      <w:r w:rsidRPr="007A2820">
        <w:rPr>
          <w:rFonts w:asciiTheme="majorHAnsi" w:hAnsiTheme="majorHAnsi" w:cstheme="majorHAnsi"/>
          <w:color w:val="000000" w:themeColor="text1"/>
          <w:sz w:val="26"/>
          <w:szCs w:val="26"/>
          <w:shd w:val="clear" w:color="auto" w:fill="FFFFFF"/>
        </w:rPr>
        <w:t>Nghị định số 66/2013/NĐ-CP ngày 27/6/2013 của Chính phủ quy định mức lương cơ sở đối với cán bộ, công chức, viên chức và lực lượng vũ trang</w:t>
      </w:r>
      <w:r w:rsidRPr="007A2820">
        <w:rPr>
          <w:rFonts w:asciiTheme="majorHAnsi" w:hAnsiTheme="majorHAnsi" w:cstheme="majorHAnsi"/>
          <w:color w:val="000000" w:themeColor="text1"/>
          <w:sz w:val="26"/>
          <w:szCs w:val="26"/>
        </w:rPr>
        <w:t>;</w:t>
      </w:r>
    </w:p>
    <w:p w:rsidR="005B6B58" w:rsidRPr="007A2820" w:rsidRDefault="005B6B58" w:rsidP="00A5263D">
      <w:pPr>
        <w:spacing w:after="60" w:line="240" w:lineRule="auto"/>
        <w:jc w:val="both"/>
        <w:rPr>
          <w:rFonts w:asciiTheme="majorHAnsi" w:hAnsiTheme="majorHAnsi" w:cstheme="majorHAnsi"/>
          <w:color w:val="000000" w:themeColor="text1"/>
          <w:sz w:val="26"/>
          <w:szCs w:val="26"/>
        </w:rPr>
      </w:pPr>
      <w:r w:rsidRPr="007A2820">
        <w:rPr>
          <w:rFonts w:asciiTheme="majorHAnsi" w:hAnsiTheme="majorHAnsi" w:cstheme="majorHAnsi"/>
          <w:b/>
          <w:color w:val="000000" w:themeColor="text1"/>
          <w:sz w:val="26"/>
          <w:szCs w:val="26"/>
        </w:rPr>
        <w:tab/>
      </w:r>
      <w:r w:rsidRPr="007A2820">
        <w:rPr>
          <w:rFonts w:asciiTheme="majorHAnsi" w:hAnsiTheme="majorHAnsi" w:cstheme="majorHAnsi"/>
          <w:color w:val="000000" w:themeColor="text1"/>
          <w:sz w:val="26"/>
          <w:szCs w:val="26"/>
        </w:rPr>
        <w:t>Căn cứ Quyết định 128-QĐ/TW ngày 14 tháng 12 năm 2004 của Ban chấp hành Trung ương Đảng Cộng sản Việt Nam về chế độ tiền lương đối với cán bộ, công chức, viên chức cơ quan Đảng, Mặt trận và các đoàn thể;</w:t>
      </w:r>
    </w:p>
    <w:p w:rsidR="005B6B58" w:rsidRPr="007A2820" w:rsidRDefault="005B6B58" w:rsidP="00A5263D">
      <w:pPr>
        <w:spacing w:after="60" w:line="240" w:lineRule="auto"/>
        <w:ind w:firstLine="720"/>
        <w:jc w:val="both"/>
        <w:rPr>
          <w:rFonts w:asciiTheme="majorHAnsi" w:hAnsiTheme="majorHAnsi" w:cstheme="majorHAnsi"/>
          <w:color w:val="000000" w:themeColor="text1"/>
          <w:sz w:val="26"/>
          <w:szCs w:val="26"/>
        </w:rPr>
      </w:pPr>
      <w:r w:rsidRPr="007A2820">
        <w:rPr>
          <w:rFonts w:asciiTheme="majorHAnsi" w:hAnsiTheme="majorHAnsi" w:cstheme="majorHAnsi"/>
          <w:color w:val="000000" w:themeColor="text1"/>
          <w:sz w:val="26"/>
          <w:szCs w:val="26"/>
        </w:rPr>
        <w:t>Căn cứ Quyết định 275 - QĐ/TW ngày 04 tháng 12 năm 2009 của Ban chấp hành Trung ương Đảng Cộng sản Việt Nam về sửa đổi, bổ sung một số điều của Quyết định 128- QĐ/TW ngày 14 tháng 12 năm 2004 của Ban Bí thư về chế độ tiền lương đối với cán bộ, công chức, viên chức cơ quan Đảng, Mặt trận và các đoàn thể;</w:t>
      </w:r>
    </w:p>
    <w:p w:rsidR="005B6B58" w:rsidRPr="007A2820" w:rsidRDefault="005B6B58" w:rsidP="00A5263D">
      <w:pPr>
        <w:spacing w:after="60" w:line="240" w:lineRule="auto"/>
        <w:ind w:firstLine="720"/>
        <w:jc w:val="both"/>
        <w:rPr>
          <w:rFonts w:asciiTheme="majorHAnsi" w:hAnsiTheme="majorHAnsi" w:cstheme="majorHAnsi"/>
          <w:color w:val="000000" w:themeColor="text1"/>
          <w:sz w:val="26"/>
          <w:szCs w:val="26"/>
        </w:rPr>
      </w:pPr>
      <w:r w:rsidRPr="007A2820">
        <w:rPr>
          <w:rFonts w:asciiTheme="majorHAnsi" w:hAnsiTheme="majorHAnsi" w:cstheme="majorHAnsi"/>
          <w:color w:val="000000" w:themeColor="text1"/>
          <w:sz w:val="26"/>
          <w:szCs w:val="26"/>
        </w:rPr>
        <w:t>Căn cứ các Công văn của Tập đoàn Công nghiệp cao su Việt Nam về việc hướng dẫn xây dựng đơn giá tiền lương trồng mới, tái canh, chăm sóc cao su KTCB khu vực Miền đông Nam bộ, Tây Nguyên và Duyên hải Miền Trung;</w:t>
      </w:r>
    </w:p>
    <w:p w:rsidR="005B6B58" w:rsidRPr="005B6B58" w:rsidRDefault="005B6B58" w:rsidP="00A5263D">
      <w:pPr>
        <w:spacing w:after="60" w:line="240" w:lineRule="auto"/>
        <w:rPr>
          <w:rFonts w:asciiTheme="majorHAnsi" w:hAnsiTheme="majorHAnsi" w:cstheme="majorHAnsi"/>
          <w:b/>
          <w:sz w:val="26"/>
          <w:szCs w:val="26"/>
        </w:rPr>
      </w:pPr>
      <w:r w:rsidRPr="005B6B58">
        <w:rPr>
          <w:rFonts w:asciiTheme="majorHAnsi" w:hAnsiTheme="majorHAnsi" w:cstheme="majorHAnsi"/>
          <w:b/>
          <w:sz w:val="26"/>
          <w:szCs w:val="26"/>
        </w:rPr>
        <w:t>b. Nguyên tắc xác định lương, thưởng, thù lao đối với người quản lý doanh nghiệp:</w:t>
      </w:r>
    </w:p>
    <w:p w:rsidR="005B6B58" w:rsidRPr="005B6B58" w:rsidRDefault="005B6B58" w:rsidP="00A5263D">
      <w:pPr>
        <w:spacing w:before="60" w:after="60" w:line="288" w:lineRule="auto"/>
        <w:ind w:firstLine="600"/>
        <w:jc w:val="both"/>
        <w:rPr>
          <w:rFonts w:ascii="Times New Roman" w:eastAsia="Times New Roman" w:hAnsi="Times New Roman" w:cs="Times New Roman"/>
          <w:sz w:val="26"/>
          <w:szCs w:val="26"/>
        </w:rPr>
      </w:pPr>
      <w:r w:rsidRPr="005B6B58">
        <w:rPr>
          <w:rFonts w:ascii="Times New Roman" w:eastAsia="Times New Roman" w:hAnsi="Times New Roman" w:cs="Times New Roman"/>
          <w:sz w:val="26"/>
          <w:szCs w:val="26"/>
        </w:rPr>
        <w:t>Căn cứ Thông tư số 27/2016/TT-BLĐTBXH ngày 01/9/2016 của Bộ Lao động- Thương binh và Xã hội hướng dẫn thực hiện Nghị định số 52/2016/NĐ-CP ngày 13/6/2016 của Chính phủ về việc quy định  tiền lương, thù lao, tiền thưởng đối với người quản lý công ty TNHH MTV do nhà nước nắm giữ 100% vốn điều lệ;</w:t>
      </w:r>
    </w:p>
    <w:p w:rsidR="005B6B58" w:rsidRPr="005B6B58" w:rsidRDefault="005B6B58" w:rsidP="00A5263D">
      <w:pPr>
        <w:spacing w:after="60" w:line="240" w:lineRule="auto"/>
        <w:jc w:val="both"/>
        <w:rPr>
          <w:rFonts w:ascii="Times New Roman" w:eastAsia="Times New Roman" w:hAnsi="Times New Roman" w:cs="Times New Roman"/>
          <w:b/>
          <w:sz w:val="26"/>
          <w:szCs w:val="26"/>
        </w:rPr>
      </w:pPr>
      <w:r w:rsidRPr="005B6B58">
        <w:rPr>
          <w:rFonts w:ascii="Times New Roman" w:eastAsia="Times New Roman" w:hAnsi="Times New Roman" w:cs="Times New Roman"/>
          <w:b/>
          <w:sz w:val="26"/>
          <w:szCs w:val="26"/>
        </w:rPr>
        <w:t>2.Quỹ lương kế hoạch 2016:</w:t>
      </w:r>
    </w:p>
    <w:p w:rsidR="005B6B58" w:rsidRPr="007A2820" w:rsidRDefault="005B6B58" w:rsidP="00A5263D">
      <w:pPr>
        <w:spacing w:after="60" w:line="240" w:lineRule="auto"/>
        <w:jc w:val="both"/>
        <w:rPr>
          <w:rFonts w:ascii="Times New Roman" w:eastAsia="Times New Roman" w:hAnsi="Times New Roman" w:cs="Times New Roman"/>
          <w:color w:val="000000" w:themeColor="text1"/>
          <w:sz w:val="26"/>
          <w:szCs w:val="26"/>
        </w:rPr>
      </w:pPr>
      <w:r w:rsidRPr="007A2820">
        <w:rPr>
          <w:rFonts w:ascii="Times New Roman" w:eastAsia="Times New Roman" w:hAnsi="Times New Roman" w:cs="Times New Roman"/>
          <w:b/>
          <w:color w:val="000000" w:themeColor="text1"/>
          <w:sz w:val="26"/>
          <w:szCs w:val="26"/>
        </w:rPr>
        <w:t xml:space="preserve">a. Quỹ lương kế hoạch của người lao động: </w:t>
      </w:r>
      <w:r w:rsidR="007A2820" w:rsidRPr="007A2820">
        <w:rPr>
          <w:rFonts w:ascii="Times New Roman" w:eastAsia="Times New Roman" w:hAnsi="Times New Roman" w:cs="Times New Roman"/>
          <w:b/>
          <w:color w:val="000000" w:themeColor="text1"/>
          <w:sz w:val="26"/>
          <w:szCs w:val="26"/>
        </w:rPr>
        <w:t>77.142</w:t>
      </w:r>
      <w:r w:rsidRPr="007A2820">
        <w:rPr>
          <w:rFonts w:ascii="Times New Roman" w:eastAsia="Times New Roman" w:hAnsi="Times New Roman" w:cs="Times New Roman"/>
          <w:b/>
          <w:color w:val="000000" w:themeColor="text1"/>
          <w:sz w:val="26"/>
          <w:szCs w:val="26"/>
        </w:rPr>
        <w:t xml:space="preserve"> triệu đồng</w:t>
      </w:r>
      <w:r w:rsidR="007A2820" w:rsidRPr="007A2820">
        <w:rPr>
          <w:rFonts w:ascii="Times New Roman" w:eastAsia="Times New Roman" w:hAnsi="Times New Roman" w:cs="Times New Roman"/>
          <w:b/>
          <w:color w:val="000000" w:themeColor="text1"/>
          <w:sz w:val="26"/>
          <w:szCs w:val="26"/>
        </w:rPr>
        <w:t>;</w:t>
      </w:r>
    </w:p>
    <w:p w:rsidR="005B6B58" w:rsidRPr="007A2820" w:rsidRDefault="005B6B58" w:rsidP="00A5263D">
      <w:pPr>
        <w:spacing w:after="60" w:line="240" w:lineRule="auto"/>
        <w:jc w:val="both"/>
        <w:rPr>
          <w:rFonts w:ascii="Times New Roman" w:eastAsia="Times New Roman" w:hAnsi="Times New Roman" w:cs="Times New Roman"/>
          <w:b/>
          <w:color w:val="000000" w:themeColor="text1"/>
          <w:sz w:val="26"/>
          <w:szCs w:val="26"/>
        </w:rPr>
      </w:pPr>
      <w:r w:rsidRPr="007A2820">
        <w:rPr>
          <w:rFonts w:ascii="Times New Roman" w:eastAsia="Times New Roman" w:hAnsi="Times New Roman" w:cs="Times New Roman"/>
          <w:b/>
          <w:color w:val="000000" w:themeColor="text1"/>
          <w:sz w:val="26"/>
          <w:szCs w:val="26"/>
        </w:rPr>
        <w:t xml:space="preserve">b.Quỹ lương kế hoạch của người quản lý doang nghiệp (bao gồm cả quỹ thù lao kế hoạch) : </w:t>
      </w:r>
      <w:r w:rsidR="007A2820" w:rsidRPr="007A2820">
        <w:rPr>
          <w:rFonts w:ascii="Times New Roman" w:eastAsia="Times New Roman" w:hAnsi="Times New Roman" w:cs="Times New Roman"/>
          <w:b/>
          <w:color w:val="000000" w:themeColor="text1"/>
          <w:sz w:val="26"/>
          <w:szCs w:val="26"/>
        </w:rPr>
        <w:t>1.380,8</w:t>
      </w:r>
      <w:r w:rsidRPr="007A2820">
        <w:rPr>
          <w:rFonts w:ascii="Times New Roman" w:eastAsia="Times New Roman" w:hAnsi="Times New Roman" w:cs="Times New Roman"/>
          <w:b/>
          <w:color w:val="000000" w:themeColor="text1"/>
          <w:sz w:val="26"/>
          <w:szCs w:val="26"/>
        </w:rPr>
        <w:t xml:space="preserve"> triệu đồng</w:t>
      </w:r>
      <w:r w:rsidR="007A2820" w:rsidRPr="007A2820">
        <w:rPr>
          <w:rFonts w:ascii="Times New Roman" w:eastAsia="Times New Roman" w:hAnsi="Times New Roman" w:cs="Times New Roman"/>
          <w:b/>
          <w:color w:val="000000" w:themeColor="text1"/>
          <w:sz w:val="26"/>
          <w:szCs w:val="26"/>
        </w:rPr>
        <w:t>;</w:t>
      </w:r>
    </w:p>
    <w:p w:rsidR="005B6B58" w:rsidRPr="005B6B58" w:rsidRDefault="005B6B58" w:rsidP="005B6B58">
      <w:pPr>
        <w:spacing w:after="120" w:line="240" w:lineRule="auto"/>
        <w:jc w:val="both"/>
        <w:rPr>
          <w:rFonts w:ascii="Times New Roman" w:eastAsia="Times New Roman" w:hAnsi="Times New Roman" w:cs="Times New Roman"/>
          <w:sz w:val="26"/>
          <w:szCs w:val="26"/>
        </w:rPr>
      </w:pPr>
      <w:r w:rsidRPr="005B6B58">
        <w:rPr>
          <w:rFonts w:ascii="Times New Roman" w:eastAsia="Times New Roman" w:hAnsi="Times New Roman" w:cs="Times New Roman"/>
          <w:b/>
          <w:sz w:val="26"/>
          <w:szCs w:val="26"/>
        </w:rPr>
        <w:t xml:space="preserve">3.Chính sách phân phối tiền lương, tiền thưởng, thù lao của doanh nghiệp: </w:t>
      </w:r>
      <w:r w:rsidRPr="005B6B58">
        <w:rPr>
          <w:rFonts w:ascii="Times New Roman" w:eastAsia="Times New Roman" w:hAnsi="Times New Roman" w:cs="Times New Roman"/>
          <w:sz w:val="26"/>
          <w:szCs w:val="26"/>
        </w:rPr>
        <w:t xml:space="preserve"> Tiền lương, tiền thưởng, thù lao của doang nghiệp hằng năm được trả theo phương án trả lương, trả thưởng, thù lao cảu đơn vị xây dựng.</w:t>
      </w:r>
    </w:p>
    <w:p w:rsidR="005B6B58" w:rsidRPr="00FF61F4" w:rsidRDefault="005B6B58" w:rsidP="005B6B58">
      <w:pPr>
        <w:spacing w:after="120" w:line="240" w:lineRule="auto"/>
        <w:jc w:val="both"/>
        <w:rPr>
          <w:rFonts w:ascii="Times New Roman" w:eastAsia="Times New Roman" w:hAnsi="Times New Roman" w:cs="Times New Roman"/>
          <w:b/>
          <w:sz w:val="24"/>
          <w:szCs w:val="24"/>
        </w:rPr>
      </w:pPr>
      <w:r w:rsidRPr="00FF61F4">
        <w:rPr>
          <w:rFonts w:ascii="Times New Roman" w:eastAsia="Times New Roman" w:hAnsi="Times New Roman" w:cs="Times New Roman"/>
          <w:b/>
          <w:sz w:val="24"/>
          <w:szCs w:val="24"/>
        </w:rPr>
        <w:lastRenderedPageBreak/>
        <w:t xml:space="preserve">II.Quỹ tiền lương, thù lao, tiền </w:t>
      </w:r>
      <w:r>
        <w:rPr>
          <w:rFonts w:ascii="Times New Roman" w:eastAsia="Times New Roman" w:hAnsi="Times New Roman" w:cs="Times New Roman"/>
          <w:b/>
          <w:sz w:val="24"/>
          <w:szCs w:val="24"/>
        </w:rPr>
        <w:t>thưởng của doanh nghiệp năm 201</w:t>
      </w:r>
      <w:r w:rsidRPr="00810A0B">
        <w:rPr>
          <w:rFonts w:ascii="Times New Roman" w:eastAsia="Times New Roman" w:hAnsi="Times New Roman" w:cs="Times New Roman"/>
          <w:b/>
          <w:sz w:val="24"/>
          <w:szCs w:val="24"/>
        </w:rPr>
        <w:t>6</w:t>
      </w:r>
      <w:r w:rsidRPr="00FF61F4">
        <w:rPr>
          <w:rFonts w:ascii="Times New Roman" w:eastAsia="Times New Roman" w:hAnsi="Times New Roman" w:cs="Times New Roman"/>
          <w:b/>
          <w:sz w:val="24"/>
          <w:szCs w:val="24"/>
        </w:rPr>
        <w:t>:</w:t>
      </w:r>
    </w:p>
    <w:tbl>
      <w:tblPr>
        <w:tblStyle w:val="TableGrid"/>
        <w:tblW w:w="14574" w:type="dxa"/>
        <w:jc w:val="center"/>
        <w:tblLayout w:type="fixed"/>
        <w:tblLook w:val="04A0"/>
      </w:tblPr>
      <w:tblGrid>
        <w:gridCol w:w="657"/>
        <w:gridCol w:w="6563"/>
        <w:gridCol w:w="2393"/>
        <w:gridCol w:w="1701"/>
        <w:gridCol w:w="1559"/>
        <w:gridCol w:w="1701"/>
      </w:tblGrid>
      <w:tr w:rsidR="005B6B58" w:rsidTr="007A2820">
        <w:trPr>
          <w:jc w:val="center"/>
        </w:trPr>
        <w:tc>
          <w:tcPr>
            <w:tcW w:w="657" w:type="dxa"/>
            <w:vMerge w:val="restart"/>
            <w:vAlign w:val="center"/>
          </w:tcPr>
          <w:p w:rsidR="005B6B58" w:rsidRDefault="005B6B58" w:rsidP="007A2820">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TT</w:t>
            </w:r>
          </w:p>
        </w:tc>
        <w:tc>
          <w:tcPr>
            <w:tcW w:w="6563" w:type="dxa"/>
            <w:vMerge w:val="restart"/>
            <w:vAlign w:val="center"/>
          </w:tcPr>
          <w:p w:rsidR="005B6B58" w:rsidRDefault="005B6B58" w:rsidP="007A2820">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Chỉ tiêu</w:t>
            </w:r>
          </w:p>
        </w:tc>
        <w:tc>
          <w:tcPr>
            <w:tcW w:w="2393" w:type="dxa"/>
            <w:vMerge w:val="restart"/>
            <w:vAlign w:val="center"/>
          </w:tcPr>
          <w:p w:rsidR="005B6B58" w:rsidRDefault="005B6B58" w:rsidP="007A2820">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Đơn vị tính</w:t>
            </w:r>
          </w:p>
        </w:tc>
        <w:tc>
          <w:tcPr>
            <w:tcW w:w="3260" w:type="dxa"/>
            <w:gridSpan w:val="2"/>
            <w:vAlign w:val="center"/>
          </w:tcPr>
          <w:p w:rsidR="005B6B58" w:rsidRDefault="005B6B58" w:rsidP="007A2820">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Năm 2015</w:t>
            </w:r>
          </w:p>
        </w:tc>
        <w:tc>
          <w:tcPr>
            <w:tcW w:w="1701" w:type="dxa"/>
            <w:vAlign w:val="center"/>
          </w:tcPr>
          <w:p w:rsidR="005B6B58" w:rsidRDefault="005B6B58" w:rsidP="007A2820">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Năm 2016</w:t>
            </w:r>
          </w:p>
        </w:tc>
      </w:tr>
      <w:tr w:rsidR="005B6B58" w:rsidTr="007A2820">
        <w:trPr>
          <w:jc w:val="center"/>
        </w:trPr>
        <w:tc>
          <w:tcPr>
            <w:tcW w:w="657" w:type="dxa"/>
            <w:vMerge/>
            <w:vAlign w:val="center"/>
          </w:tcPr>
          <w:p w:rsidR="005B6B58" w:rsidRDefault="005B6B58" w:rsidP="007A2820">
            <w:pPr>
              <w:spacing w:after="120"/>
              <w:rPr>
                <w:rFonts w:ascii="Times New Roman" w:hAnsi="Times New Roman" w:cs="Times New Roman"/>
                <w:b/>
                <w:sz w:val="24"/>
                <w:szCs w:val="24"/>
                <w:lang w:val="en-US"/>
              </w:rPr>
            </w:pPr>
          </w:p>
        </w:tc>
        <w:tc>
          <w:tcPr>
            <w:tcW w:w="6563" w:type="dxa"/>
            <w:vMerge/>
            <w:vAlign w:val="center"/>
          </w:tcPr>
          <w:p w:rsidR="005B6B58" w:rsidRDefault="005B6B58" w:rsidP="007A2820">
            <w:pPr>
              <w:spacing w:after="120"/>
              <w:rPr>
                <w:rFonts w:ascii="Times New Roman" w:hAnsi="Times New Roman" w:cs="Times New Roman"/>
                <w:b/>
                <w:sz w:val="24"/>
                <w:szCs w:val="24"/>
                <w:lang w:val="en-US"/>
              </w:rPr>
            </w:pPr>
          </w:p>
        </w:tc>
        <w:tc>
          <w:tcPr>
            <w:tcW w:w="2393" w:type="dxa"/>
            <w:vMerge/>
            <w:vAlign w:val="center"/>
          </w:tcPr>
          <w:p w:rsidR="005B6B58" w:rsidRDefault="005B6B58" w:rsidP="007A2820">
            <w:pPr>
              <w:spacing w:after="120"/>
              <w:rPr>
                <w:rFonts w:ascii="Times New Roman" w:hAnsi="Times New Roman" w:cs="Times New Roman"/>
                <w:b/>
                <w:sz w:val="24"/>
                <w:szCs w:val="24"/>
                <w:lang w:val="en-US"/>
              </w:rPr>
            </w:pPr>
          </w:p>
        </w:tc>
        <w:tc>
          <w:tcPr>
            <w:tcW w:w="1701" w:type="dxa"/>
            <w:vAlign w:val="center"/>
          </w:tcPr>
          <w:p w:rsidR="005B6B58" w:rsidRDefault="005B6B58" w:rsidP="007A2820">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Kế hoạch</w:t>
            </w:r>
          </w:p>
        </w:tc>
        <w:tc>
          <w:tcPr>
            <w:tcW w:w="1559" w:type="dxa"/>
            <w:vAlign w:val="center"/>
          </w:tcPr>
          <w:p w:rsidR="005B6B58" w:rsidRDefault="005B6B58" w:rsidP="007A2820">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Thực hiện</w:t>
            </w:r>
          </w:p>
        </w:tc>
        <w:tc>
          <w:tcPr>
            <w:tcW w:w="1701" w:type="dxa"/>
            <w:vAlign w:val="center"/>
          </w:tcPr>
          <w:p w:rsidR="005B6B58" w:rsidRDefault="005B6B58" w:rsidP="007A2820">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Kế hoạch</w:t>
            </w:r>
          </w:p>
        </w:tc>
      </w:tr>
      <w:tr w:rsidR="005B6B58" w:rsidRPr="008B2B2F" w:rsidTr="007A2820">
        <w:trPr>
          <w:jc w:val="center"/>
        </w:trPr>
        <w:tc>
          <w:tcPr>
            <w:tcW w:w="657" w:type="dxa"/>
            <w:vAlign w:val="center"/>
          </w:tcPr>
          <w:p w:rsidR="005B6B58" w:rsidRPr="008B2B2F" w:rsidRDefault="005B6B58" w:rsidP="007A2820">
            <w:pPr>
              <w:spacing w:after="120"/>
              <w:jc w:val="center"/>
              <w:rPr>
                <w:rFonts w:ascii="Times New Roman" w:hAnsi="Times New Roman" w:cs="Times New Roman"/>
                <w:sz w:val="24"/>
                <w:szCs w:val="24"/>
                <w:lang w:val="en-US"/>
              </w:rPr>
            </w:pPr>
            <w:r w:rsidRPr="008B2B2F">
              <w:rPr>
                <w:rFonts w:ascii="Times New Roman" w:hAnsi="Times New Roman" w:cs="Times New Roman"/>
                <w:sz w:val="24"/>
                <w:szCs w:val="24"/>
                <w:lang w:val="en-US"/>
              </w:rPr>
              <w:t>(1)</w:t>
            </w:r>
          </w:p>
        </w:tc>
        <w:tc>
          <w:tcPr>
            <w:tcW w:w="6563" w:type="dxa"/>
            <w:vAlign w:val="center"/>
          </w:tcPr>
          <w:p w:rsidR="005B6B58" w:rsidRPr="008B2B2F" w:rsidRDefault="005B6B58" w:rsidP="007A2820">
            <w:pPr>
              <w:spacing w:after="120"/>
              <w:jc w:val="center"/>
              <w:rPr>
                <w:rFonts w:ascii="Times New Roman" w:hAnsi="Times New Roman" w:cs="Times New Roman"/>
                <w:sz w:val="24"/>
                <w:szCs w:val="24"/>
                <w:lang w:val="en-US"/>
              </w:rPr>
            </w:pPr>
            <w:r w:rsidRPr="008B2B2F">
              <w:rPr>
                <w:rFonts w:ascii="Times New Roman" w:hAnsi="Times New Roman" w:cs="Times New Roman"/>
                <w:sz w:val="24"/>
                <w:szCs w:val="24"/>
                <w:lang w:val="en-US"/>
              </w:rPr>
              <w:t>(2)</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sidRPr="008B2B2F">
              <w:rPr>
                <w:rFonts w:ascii="Times New Roman" w:hAnsi="Times New Roman" w:cs="Times New Roman"/>
                <w:sz w:val="24"/>
                <w:szCs w:val="24"/>
                <w:lang w:val="en-US"/>
              </w:rPr>
              <w:t>(3)</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sidRPr="008B2B2F">
              <w:rPr>
                <w:rFonts w:ascii="Times New Roman" w:hAnsi="Times New Roman" w:cs="Times New Roman"/>
                <w:sz w:val="24"/>
                <w:szCs w:val="24"/>
                <w:lang w:val="en-US"/>
              </w:rPr>
              <w:t>(4)</w:t>
            </w:r>
          </w:p>
        </w:tc>
        <w:tc>
          <w:tcPr>
            <w:tcW w:w="1559" w:type="dxa"/>
            <w:vAlign w:val="center"/>
          </w:tcPr>
          <w:p w:rsidR="005B6B58" w:rsidRPr="008B2B2F" w:rsidRDefault="005B6B58" w:rsidP="007A2820">
            <w:pPr>
              <w:spacing w:after="120"/>
              <w:jc w:val="center"/>
              <w:rPr>
                <w:rFonts w:ascii="Times New Roman" w:hAnsi="Times New Roman" w:cs="Times New Roman"/>
                <w:sz w:val="24"/>
                <w:szCs w:val="24"/>
                <w:lang w:val="en-US"/>
              </w:rPr>
            </w:pPr>
            <w:r w:rsidRPr="008B2B2F">
              <w:rPr>
                <w:rFonts w:ascii="Times New Roman" w:hAnsi="Times New Roman" w:cs="Times New Roman"/>
                <w:sz w:val="24"/>
                <w:szCs w:val="24"/>
                <w:lang w:val="en-US"/>
              </w:rPr>
              <w:t>(5)</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sidRPr="008B2B2F">
              <w:rPr>
                <w:rFonts w:ascii="Times New Roman" w:hAnsi="Times New Roman" w:cs="Times New Roman"/>
                <w:sz w:val="24"/>
                <w:szCs w:val="24"/>
                <w:lang w:val="en-US"/>
              </w:rPr>
              <w:t>(6)</w:t>
            </w:r>
          </w:p>
        </w:tc>
      </w:tr>
      <w:tr w:rsidR="005B6B58" w:rsidTr="007A2820">
        <w:trPr>
          <w:jc w:val="center"/>
        </w:trPr>
        <w:tc>
          <w:tcPr>
            <w:tcW w:w="657" w:type="dxa"/>
            <w:vAlign w:val="center"/>
          </w:tcPr>
          <w:p w:rsidR="005B6B58" w:rsidRDefault="005B6B58" w:rsidP="007A2820">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6563" w:type="dxa"/>
            <w:vAlign w:val="center"/>
          </w:tcPr>
          <w:p w:rsidR="005B6B58" w:rsidRDefault="005B6B58" w:rsidP="007A2820">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Hạng Công ty</w:t>
            </w:r>
          </w:p>
        </w:tc>
        <w:tc>
          <w:tcPr>
            <w:tcW w:w="2393" w:type="dxa"/>
            <w:vAlign w:val="center"/>
          </w:tcPr>
          <w:p w:rsidR="005B6B58" w:rsidRDefault="005B6B58" w:rsidP="007A2820">
            <w:pPr>
              <w:spacing w:after="120"/>
              <w:jc w:val="center"/>
              <w:rPr>
                <w:rFonts w:ascii="Times New Roman" w:hAnsi="Times New Roman" w:cs="Times New Roman"/>
                <w:b/>
                <w:sz w:val="24"/>
                <w:szCs w:val="24"/>
                <w:lang w:val="en-US"/>
              </w:rPr>
            </w:pPr>
          </w:p>
        </w:tc>
        <w:tc>
          <w:tcPr>
            <w:tcW w:w="1701" w:type="dxa"/>
            <w:vAlign w:val="center"/>
          </w:tcPr>
          <w:p w:rsidR="005B6B58" w:rsidRDefault="005B6B58" w:rsidP="007A2820">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559" w:type="dxa"/>
            <w:vAlign w:val="center"/>
          </w:tcPr>
          <w:p w:rsidR="005B6B58" w:rsidRDefault="00C97806" w:rsidP="007A2820">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701" w:type="dxa"/>
            <w:vAlign w:val="center"/>
          </w:tcPr>
          <w:p w:rsidR="005B6B58" w:rsidRDefault="00C97806" w:rsidP="007A2820">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bookmarkStart w:id="0" w:name="_GoBack"/>
            <w:bookmarkEnd w:id="0"/>
          </w:p>
        </w:tc>
      </w:tr>
      <w:tr w:rsidR="005B6B58" w:rsidTr="007A2820">
        <w:trPr>
          <w:jc w:val="center"/>
        </w:trPr>
        <w:tc>
          <w:tcPr>
            <w:tcW w:w="657" w:type="dxa"/>
            <w:vAlign w:val="center"/>
          </w:tcPr>
          <w:p w:rsidR="005B6B58" w:rsidRDefault="005B6B58" w:rsidP="007A2820">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6563" w:type="dxa"/>
            <w:vAlign w:val="center"/>
          </w:tcPr>
          <w:p w:rsidR="005B6B58" w:rsidRDefault="005B6B58" w:rsidP="007A2820">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Tiền lương của lao động</w:t>
            </w:r>
          </w:p>
        </w:tc>
        <w:tc>
          <w:tcPr>
            <w:tcW w:w="2393" w:type="dxa"/>
            <w:vAlign w:val="center"/>
          </w:tcPr>
          <w:p w:rsidR="005B6B58" w:rsidRDefault="005B6B58" w:rsidP="007A2820">
            <w:pPr>
              <w:spacing w:after="120"/>
              <w:jc w:val="center"/>
              <w:rPr>
                <w:rFonts w:ascii="Times New Roman" w:hAnsi="Times New Roman" w:cs="Times New Roman"/>
                <w:b/>
                <w:sz w:val="24"/>
                <w:szCs w:val="24"/>
                <w:lang w:val="en-US"/>
              </w:rPr>
            </w:pPr>
          </w:p>
        </w:tc>
        <w:tc>
          <w:tcPr>
            <w:tcW w:w="1701" w:type="dxa"/>
            <w:vAlign w:val="center"/>
          </w:tcPr>
          <w:p w:rsidR="005B6B58" w:rsidRDefault="005B6B58" w:rsidP="007A2820">
            <w:pPr>
              <w:spacing w:after="120"/>
              <w:jc w:val="center"/>
              <w:rPr>
                <w:rFonts w:ascii="Times New Roman" w:hAnsi="Times New Roman" w:cs="Times New Roman"/>
                <w:b/>
                <w:sz w:val="24"/>
                <w:szCs w:val="24"/>
                <w:lang w:val="en-US"/>
              </w:rPr>
            </w:pPr>
          </w:p>
        </w:tc>
        <w:tc>
          <w:tcPr>
            <w:tcW w:w="1559" w:type="dxa"/>
            <w:vAlign w:val="center"/>
          </w:tcPr>
          <w:p w:rsidR="005B6B58" w:rsidRDefault="005B6B58" w:rsidP="007A2820">
            <w:pPr>
              <w:spacing w:after="120"/>
              <w:jc w:val="center"/>
              <w:rPr>
                <w:rFonts w:ascii="Times New Roman" w:hAnsi="Times New Roman" w:cs="Times New Roman"/>
                <w:b/>
                <w:sz w:val="24"/>
                <w:szCs w:val="24"/>
                <w:lang w:val="en-US"/>
              </w:rPr>
            </w:pPr>
          </w:p>
        </w:tc>
        <w:tc>
          <w:tcPr>
            <w:tcW w:w="1701" w:type="dxa"/>
            <w:vAlign w:val="center"/>
          </w:tcPr>
          <w:p w:rsidR="005B6B58" w:rsidRDefault="005B6B58" w:rsidP="007A2820">
            <w:pPr>
              <w:spacing w:after="120"/>
              <w:jc w:val="center"/>
              <w:rPr>
                <w:rFonts w:ascii="Times New Roman" w:hAnsi="Times New Roman" w:cs="Times New Roman"/>
                <w:b/>
                <w:sz w:val="24"/>
                <w:szCs w:val="24"/>
                <w:lang w:val="en-US"/>
              </w:rPr>
            </w:pP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sidRPr="008B2B2F">
              <w:rPr>
                <w:rFonts w:ascii="Times New Roman" w:hAnsi="Times New Roman" w:cs="Times New Roman"/>
                <w:sz w:val="24"/>
                <w:szCs w:val="24"/>
                <w:lang w:val="en-US"/>
              </w:rPr>
              <w:t>1</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Lao động</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Người</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1559"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7A2820">
              <w:rPr>
                <w:rFonts w:ascii="Times New Roman" w:hAnsi="Times New Roman" w:cs="Times New Roman"/>
                <w:sz w:val="24"/>
                <w:szCs w:val="24"/>
                <w:lang w:val="en-US"/>
              </w:rPr>
              <w:t>.</w:t>
            </w:r>
            <w:r>
              <w:rPr>
                <w:rFonts w:ascii="Times New Roman" w:hAnsi="Times New Roman" w:cs="Times New Roman"/>
                <w:sz w:val="24"/>
                <w:szCs w:val="24"/>
                <w:lang w:val="en-US"/>
              </w:rPr>
              <w:t>040</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7A2820">
              <w:rPr>
                <w:rFonts w:ascii="Times New Roman" w:hAnsi="Times New Roman" w:cs="Times New Roman"/>
                <w:sz w:val="24"/>
                <w:szCs w:val="24"/>
                <w:lang w:val="en-US"/>
              </w:rPr>
              <w:t>.</w:t>
            </w:r>
            <w:r>
              <w:rPr>
                <w:rFonts w:ascii="Times New Roman" w:hAnsi="Times New Roman" w:cs="Times New Roman"/>
                <w:sz w:val="24"/>
                <w:szCs w:val="24"/>
                <w:lang w:val="en-US"/>
              </w:rPr>
              <w:t>738</w:t>
            </w: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Quỹ tiền lương</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Triệu đồng</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85.817,4</w:t>
            </w:r>
          </w:p>
        </w:tc>
        <w:tc>
          <w:tcPr>
            <w:tcW w:w="1559"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94.724,03</w:t>
            </w:r>
          </w:p>
        </w:tc>
        <w:tc>
          <w:tcPr>
            <w:tcW w:w="1701"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77.142</w:t>
            </w: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Mức tiền lương bình quân</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1.000đ/người/tháng</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3.549</w:t>
            </w:r>
          </w:p>
        </w:tc>
        <w:tc>
          <w:tcPr>
            <w:tcW w:w="1559"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3.869</w:t>
            </w:r>
          </w:p>
        </w:tc>
        <w:tc>
          <w:tcPr>
            <w:tcW w:w="1701"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3.698,8</w:t>
            </w: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sidRPr="008B2B2F">
              <w:rPr>
                <w:rFonts w:ascii="Times New Roman" w:hAnsi="Times New Roman" w:cs="Times New Roman"/>
                <w:sz w:val="24"/>
                <w:szCs w:val="24"/>
                <w:lang w:val="en-US"/>
              </w:rPr>
              <w:t>4</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Quỹ tiền thưởng, phúc lợi phân phối trực tiếp cho người lao động</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Triệu đồng</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59"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7.782,88</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sidRPr="008B2B2F">
              <w:rPr>
                <w:rFonts w:ascii="Times New Roman" w:hAnsi="Times New Roman" w:cs="Times New Roman"/>
                <w:sz w:val="24"/>
                <w:szCs w:val="24"/>
                <w:lang w:val="en-US"/>
              </w:rPr>
              <w:t>5</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Thu nhập bình quân</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1.000đ/người/tháng</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59"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4.187,3</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p>
        </w:tc>
      </w:tr>
      <w:tr w:rsidR="005B6B58" w:rsidTr="007A2820">
        <w:trPr>
          <w:jc w:val="center"/>
        </w:trPr>
        <w:tc>
          <w:tcPr>
            <w:tcW w:w="657" w:type="dxa"/>
            <w:vAlign w:val="center"/>
          </w:tcPr>
          <w:p w:rsidR="005B6B58" w:rsidRDefault="005B6B58" w:rsidP="007A2820">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6563" w:type="dxa"/>
            <w:vAlign w:val="center"/>
          </w:tcPr>
          <w:p w:rsidR="005B6B58" w:rsidRDefault="005B6B58" w:rsidP="007A2820">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Tiền lương của người quản lý doanh nghiệp</w:t>
            </w:r>
          </w:p>
        </w:tc>
        <w:tc>
          <w:tcPr>
            <w:tcW w:w="2393" w:type="dxa"/>
            <w:vAlign w:val="center"/>
          </w:tcPr>
          <w:p w:rsidR="005B6B58" w:rsidRDefault="005B6B58" w:rsidP="007A2820">
            <w:pPr>
              <w:spacing w:after="120"/>
              <w:jc w:val="center"/>
              <w:rPr>
                <w:rFonts w:ascii="Times New Roman" w:hAnsi="Times New Roman" w:cs="Times New Roman"/>
                <w:b/>
                <w:sz w:val="24"/>
                <w:szCs w:val="24"/>
                <w:lang w:val="en-US"/>
              </w:rPr>
            </w:pPr>
          </w:p>
        </w:tc>
        <w:tc>
          <w:tcPr>
            <w:tcW w:w="1701" w:type="dxa"/>
            <w:vAlign w:val="center"/>
          </w:tcPr>
          <w:p w:rsidR="005B6B58" w:rsidRDefault="005B6B58" w:rsidP="007A2820">
            <w:pPr>
              <w:spacing w:after="120"/>
              <w:jc w:val="center"/>
              <w:rPr>
                <w:rFonts w:ascii="Times New Roman" w:hAnsi="Times New Roman" w:cs="Times New Roman"/>
                <w:b/>
                <w:sz w:val="24"/>
                <w:szCs w:val="24"/>
                <w:lang w:val="en-US"/>
              </w:rPr>
            </w:pPr>
          </w:p>
        </w:tc>
        <w:tc>
          <w:tcPr>
            <w:tcW w:w="1559" w:type="dxa"/>
            <w:vAlign w:val="center"/>
          </w:tcPr>
          <w:p w:rsidR="005B6B58" w:rsidRDefault="005B6B58" w:rsidP="007A2820">
            <w:pPr>
              <w:spacing w:after="120"/>
              <w:jc w:val="center"/>
              <w:rPr>
                <w:rFonts w:ascii="Times New Roman" w:hAnsi="Times New Roman" w:cs="Times New Roman"/>
                <w:b/>
                <w:sz w:val="24"/>
                <w:szCs w:val="24"/>
                <w:lang w:val="en-US"/>
              </w:rPr>
            </w:pPr>
          </w:p>
        </w:tc>
        <w:tc>
          <w:tcPr>
            <w:tcW w:w="1701" w:type="dxa"/>
            <w:vAlign w:val="center"/>
          </w:tcPr>
          <w:p w:rsidR="005B6B58" w:rsidRDefault="005B6B58" w:rsidP="007A2820">
            <w:pPr>
              <w:spacing w:after="120"/>
              <w:jc w:val="center"/>
              <w:rPr>
                <w:rFonts w:ascii="Times New Roman" w:hAnsi="Times New Roman" w:cs="Times New Roman"/>
                <w:b/>
                <w:sz w:val="24"/>
                <w:szCs w:val="24"/>
                <w:lang w:val="en-US"/>
              </w:rPr>
            </w:pP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Số người quản lý doanh nghiệp chuyên trách</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Người</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59"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01"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5B6B58" w:rsidRPr="008B2B2F" w:rsidTr="007A2820">
        <w:trPr>
          <w:jc w:val="center"/>
        </w:trPr>
        <w:tc>
          <w:tcPr>
            <w:tcW w:w="657" w:type="dxa"/>
            <w:vAlign w:val="center"/>
          </w:tcPr>
          <w:p w:rsidR="005B6B58" w:rsidRDefault="005B6B58" w:rsidP="007A2820">
            <w:pPr>
              <w:spacing w:after="120"/>
              <w:rPr>
                <w:rFonts w:ascii="Times New Roman" w:hAnsi="Times New Roman" w:cs="Times New Roman"/>
                <w:sz w:val="24"/>
                <w:szCs w:val="24"/>
                <w:lang w:val="en-US"/>
              </w:rPr>
            </w:pP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Số người quản lý doanh nghiệp không chuyên trách</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Người</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01"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Mức tiền lương cơ bản bình quân</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Tr.đồng/người/ tháng</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23,2</w:t>
            </w:r>
          </w:p>
        </w:tc>
        <w:tc>
          <w:tcPr>
            <w:tcW w:w="1559"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23,2</w:t>
            </w:r>
          </w:p>
        </w:tc>
        <w:tc>
          <w:tcPr>
            <w:tcW w:w="1701"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23,23</w:t>
            </w: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Quỹ tiền lương</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Triệu đồng</w:t>
            </w:r>
          </w:p>
        </w:tc>
        <w:tc>
          <w:tcPr>
            <w:tcW w:w="1701" w:type="dxa"/>
            <w:vAlign w:val="center"/>
          </w:tcPr>
          <w:p w:rsidR="005B6B58" w:rsidRPr="008B2B2F" w:rsidRDefault="005B6B58" w:rsidP="007A2820">
            <w:pPr>
              <w:spacing w:after="120"/>
              <w:jc w:val="center"/>
              <w:rPr>
                <w:rFonts w:ascii="Times New Roman" w:hAnsi="Times New Roman" w:cs="Times New Roman"/>
                <w:sz w:val="24"/>
                <w:szCs w:val="24"/>
                <w:lang w:val="en-US"/>
              </w:rPr>
            </w:pPr>
            <w:r w:rsidRPr="00CD5331">
              <w:rPr>
                <w:rFonts w:ascii="Times New Roman" w:hAnsi="Times New Roman" w:cs="Times New Roman"/>
                <w:sz w:val="24"/>
                <w:szCs w:val="24"/>
                <w:lang w:val="en-US"/>
              </w:rPr>
              <w:t>1.322,4</w:t>
            </w:r>
          </w:p>
        </w:tc>
        <w:tc>
          <w:tcPr>
            <w:tcW w:w="1559"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1.821,26</w:t>
            </w:r>
          </w:p>
        </w:tc>
        <w:tc>
          <w:tcPr>
            <w:tcW w:w="1701"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1.208</w:t>
            </w: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Quỹ thù lao</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Triệu đồng</w:t>
            </w:r>
          </w:p>
        </w:tc>
        <w:tc>
          <w:tcPr>
            <w:tcW w:w="1701" w:type="dxa"/>
            <w:vAlign w:val="center"/>
          </w:tcPr>
          <w:p w:rsidR="005B6B58" w:rsidRPr="00CD5331" w:rsidRDefault="005B6B58" w:rsidP="007A2820">
            <w:pPr>
              <w:jc w:val="center"/>
              <w:rPr>
                <w:color w:val="000000"/>
                <w:sz w:val="34"/>
                <w:szCs w:val="34"/>
                <w:lang w:val="en-US"/>
              </w:rPr>
            </w:pPr>
            <w:r w:rsidRPr="00CD5331">
              <w:rPr>
                <w:rFonts w:ascii="Times New Roman" w:hAnsi="Times New Roman" w:cs="Times New Roman"/>
                <w:sz w:val="24"/>
                <w:szCs w:val="24"/>
                <w:lang w:val="en-US"/>
              </w:rPr>
              <w:t>164,16</w:t>
            </w:r>
          </w:p>
        </w:tc>
        <w:tc>
          <w:tcPr>
            <w:tcW w:w="1559" w:type="dxa"/>
            <w:vAlign w:val="center"/>
          </w:tcPr>
          <w:p w:rsidR="005B6B58"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230,39</w:t>
            </w:r>
          </w:p>
        </w:tc>
        <w:tc>
          <w:tcPr>
            <w:tcW w:w="1701" w:type="dxa"/>
            <w:vAlign w:val="center"/>
          </w:tcPr>
          <w:p w:rsidR="005B6B58" w:rsidRPr="007A2820" w:rsidRDefault="007A2820" w:rsidP="007A2820">
            <w:pPr>
              <w:spacing w:after="120"/>
              <w:jc w:val="center"/>
              <w:rPr>
                <w:rFonts w:ascii="Times New Roman" w:hAnsi="Times New Roman" w:cs="Times New Roman"/>
                <w:sz w:val="24"/>
                <w:szCs w:val="24"/>
                <w:lang w:val="en-US"/>
              </w:rPr>
            </w:pPr>
            <w:r w:rsidRPr="007A2820">
              <w:rPr>
                <w:rFonts w:ascii="Times New Roman" w:hAnsi="Times New Roman" w:cs="Times New Roman"/>
                <w:sz w:val="24"/>
                <w:szCs w:val="24"/>
                <w:lang w:val="en-US"/>
              </w:rPr>
              <w:t>172,8</w:t>
            </w:r>
          </w:p>
        </w:tc>
      </w:tr>
      <w:tr w:rsidR="005B6B58" w:rsidRPr="008B2B2F" w:rsidTr="007A2820">
        <w:trPr>
          <w:jc w:val="center"/>
        </w:trPr>
        <w:tc>
          <w:tcPr>
            <w:tcW w:w="657"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563" w:type="dxa"/>
            <w:vAlign w:val="center"/>
          </w:tcPr>
          <w:p w:rsidR="005B6B58" w:rsidRPr="008B2B2F" w:rsidRDefault="005B6B58"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Mức tiền lương bình quân</w:t>
            </w:r>
          </w:p>
        </w:tc>
        <w:tc>
          <w:tcPr>
            <w:tcW w:w="2393" w:type="dxa"/>
            <w:vAlign w:val="center"/>
          </w:tcPr>
          <w:p w:rsidR="005B6B58" w:rsidRPr="008B2B2F" w:rsidRDefault="005B6B58"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Tr.đồng/người/ tháng</w:t>
            </w:r>
          </w:p>
        </w:tc>
        <w:tc>
          <w:tcPr>
            <w:tcW w:w="1701" w:type="dxa"/>
            <w:vAlign w:val="center"/>
          </w:tcPr>
          <w:p w:rsidR="005B6B58" w:rsidRPr="00CD5331" w:rsidRDefault="005B6B58" w:rsidP="007A2820">
            <w:pPr>
              <w:spacing w:after="120"/>
              <w:jc w:val="center"/>
              <w:rPr>
                <w:rFonts w:ascii="Times New Roman" w:hAnsi="Times New Roman" w:cs="Times New Roman"/>
                <w:sz w:val="24"/>
                <w:szCs w:val="24"/>
                <w:lang w:val="en-US"/>
              </w:rPr>
            </w:pPr>
            <w:r w:rsidRPr="00CD5331">
              <w:rPr>
                <w:rFonts w:ascii="Times New Roman" w:hAnsi="Times New Roman" w:cs="Times New Roman"/>
                <w:sz w:val="24"/>
                <w:szCs w:val="24"/>
                <w:lang w:val="en-US"/>
              </w:rPr>
              <w:t>22,04</w:t>
            </w:r>
          </w:p>
        </w:tc>
        <w:tc>
          <w:tcPr>
            <w:tcW w:w="1559" w:type="dxa"/>
            <w:vAlign w:val="center"/>
          </w:tcPr>
          <w:p w:rsidR="005B6B58" w:rsidRPr="00CD5331"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30,35</w:t>
            </w:r>
          </w:p>
        </w:tc>
        <w:tc>
          <w:tcPr>
            <w:tcW w:w="1701" w:type="dxa"/>
            <w:vAlign w:val="center"/>
          </w:tcPr>
          <w:p w:rsidR="005B6B58" w:rsidRPr="00CD5331"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23,23</w:t>
            </w:r>
          </w:p>
        </w:tc>
      </w:tr>
      <w:tr w:rsidR="007A2820" w:rsidRPr="008B2B2F" w:rsidTr="007A2820">
        <w:trPr>
          <w:trHeight w:val="263"/>
          <w:jc w:val="center"/>
        </w:trPr>
        <w:tc>
          <w:tcPr>
            <w:tcW w:w="657" w:type="dxa"/>
            <w:vAlign w:val="center"/>
          </w:tcPr>
          <w:p w:rsidR="007A2820" w:rsidRPr="008B2B2F" w:rsidRDefault="007A2820"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563" w:type="dxa"/>
            <w:vAlign w:val="center"/>
          </w:tcPr>
          <w:p w:rsidR="007A2820" w:rsidRPr="008B2B2F" w:rsidRDefault="007A2820"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Quỹ tiền thưởng (VCQL chuyên trách và kiêm  nhiệm)</w:t>
            </w:r>
          </w:p>
        </w:tc>
        <w:tc>
          <w:tcPr>
            <w:tcW w:w="2393" w:type="dxa"/>
            <w:vAlign w:val="center"/>
          </w:tcPr>
          <w:p w:rsidR="007A2820"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Triệu đồng</w:t>
            </w:r>
          </w:p>
        </w:tc>
        <w:tc>
          <w:tcPr>
            <w:tcW w:w="1701" w:type="dxa"/>
            <w:vAlign w:val="center"/>
          </w:tcPr>
          <w:p w:rsidR="007A2820"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59" w:type="dxa"/>
            <w:vAlign w:val="center"/>
          </w:tcPr>
          <w:p w:rsidR="007A2820"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77,224</w:t>
            </w:r>
          </w:p>
        </w:tc>
        <w:tc>
          <w:tcPr>
            <w:tcW w:w="1701" w:type="dxa"/>
            <w:vAlign w:val="center"/>
          </w:tcPr>
          <w:p w:rsidR="007A2820" w:rsidRPr="008B2B2F" w:rsidRDefault="007A2820" w:rsidP="00CC5B32">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7A2820" w:rsidRPr="008B2B2F" w:rsidTr="007A2820">
        <w:trPr>
          <w:jc w:val="center"/>
        </w:trPr>
        <w:tc>
          <w:tcPr>
            <w:tcW w:w="657" w:type="dxa"/>
            <w:vAlign w:val="center"/>
          </w:tcPr>
          <w:p w:rsidR="007A2820" w:rsidRPr="008B2B2F" w:rsidRDefault="007A2820"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563" w:type="dxa"/>
            <w:vAlign w:val="center"/>
          </w:tcPr>
          <w:p w:rsidR="007A2820" w:rsidRPr="008B2B2F" w:rsidRDefault="007A2820" w:rsidP="007A2820">
            <w:pPr>
              <w:spacing w:after="120"/>
              <w:rPr>
                <w:rFonts w:ascii="Times New Roman" w:hAnsi="Times New Roman" w:cs="Times New Roman"/>
                <w:sz w:val="24"/>
                <w:szCs w:val="24"/>
                <w:lang w:val="en-US"/>
              </w:rPr>
            </w:pPr>
            <w:r>
              <w:rPr>
                <w:rFonts w:ascii="Times New Roman" w:hAnsi="Times New Roman" w:cs="Times New Roman"/>
                <w:sz w:val="24"/>
                <w:szCs w:val="24"/>
                <w:lang w:val="en-US"/>
              </w:rPr>
              <w:t>Mức thu nhập bình quân của VCQL</w:t>
            </w:r>
          </w:p>
        </w:tc>
        <w:tc>
          <w:tcPr>
            <w:tcW w:w="2393" w:type="dxa"/>
            <w:vAlign w:val="center"/>
          </w:tcPr>
          <w:p w:rsidR="007A2820"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Tr.đồng/người/ tháng</w:t>
            </w:r>
          </w:p>
        </w:tc>
        <w:tc>
          <w:tcPr>
            <w:tcW w:w="1701" w:type="dxa"/>
            <w:vAlign w:val="center"/>
          </w:tcPr>
          <w:p w:rsidR="007A2820" w:rsidRPr="008B2B2F" w:rsidRDefault="007A2820" w:rsidP="007A2820">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59" w:type="dxa"/>
            <w:vAlign w:val="center"/>
          </w:tcPr>
          <w:p w:rsidR="007A2820" w:rsidRPr="008B2B2F" w:rsidRDefault="007A2820" w:rsidP="007A2820">
            <w:pPr>
              <w:spacing w:after="120"/>
              <w:jc w:val="center"/>
              <w:rPr>
                <w:rFonts w:ascii="Times New Roman" w:hAnsi="Times New Roman" w:cs="Times New Roman"/>
                <w:sz w:val="24"/>
                <w:szCs w:val="24"/>
                <w:lang w:val="en-US"/>
              </w:rPr>
            </w:pPr>
          </w:p>
        </w:tc>
        <w:tc>
          <w:tcPr>
            <w:tcW w:w="1701" w:type="dxa"/>
            <w:vAlign w:val="center"/>
          </w:tcPr>
          <w:p w:rsidR="007A2820" w:rsidRPr="008B2B2F" w:rsidRDefault="007A2820" w:rsidP="00CC5B32">
            <w:pPr>
              <w:spacing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rsidR="005B6B58" w:rsidRPr="00C97806" w:rsidRDefault="005B6B58" w:rsidP="00C97806">
      <w:pPr>
        <w:spacing w:after="0" w:line="240" w:lineRule="auto"/>
        <w:jc w:val="both"/>
        <w:rPr>
          <w:rFonts w:ascii="Times New Roman" w:hAnsi="Times New Roman" w:cs="Times New Roman"/>
          <w:i/>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Pr>
          <w:rFonts w:ascii="Times New Roman" w:hAnsi="Times New Roman" w:cs="Times New Roman"/>
          <w:b/>
          <w:sz w:val="24"/>
          <w:szCs w:val="24"/>
          <w:lang w:val="en-US"/>
        </w:rPr>
        <w:tab/>
      </w:r>
      <w:r w:rsidR="00C97806" w:rsidRPr="00C97806">
        <w:rPr>
          <w:rFonts w:ascii="Times New Roman" w:hAnsi="Times New Roman" w:cs="Times New Roman"/>
          <w:i/>
          <w:sz w:val="24"/>
          <w:szCs w:val="24"/>
          <w:lang w:val="en-US"/>
        </w:rPr>
        <w:t xml:space="preserve">   Gia Lai, ngày 03 tháng 4 năm 2017</w:t>
      </w:r>
    </w:p>
    <w:p w:rsidR="005B6B58" w:rsidRPr="00FF61F4" w:rsidRDefault="00C97806" w:rsidP="00C97806">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4"/>
          <w:szCs w:val="24"/>
          <w:lang w:val="en-US"/>
        </w:rPr>
        <w:tab/>
      </w:r>
      <w:r w:rsidR="005B6B58">
        <w:rPr>
          <w:rFonts w:ascii="Times New Roman" w:hAnsi="Times New Roman" w:cs="Times New Roman"/>
          <w:b/>
          <w:sz w:val="28"/>
          <w:szCs w:val="24"/>
          <w:lang w:val="en-US"/>
        </w:rPr>
        <w:t>TỔNG GIÁM ĐỐC</w:t>
      </w:r>
      <w:r w:rsidR="005B6B58" w:rsidRPr="00382267">
        <w:rPr>
          <w:rFonts w:ascii="Times New Roman" w:hAnsi="Times New Roman" w:cs="Times New Roman"/>
          <w:b/>
          <w:sz w:val="28"/>
          <w:szCs w:val="24"/>
          <w:lang w:val="en-US"/>
        </w:rPr>
        <w:tab/>
      </w:r>
      <w:r w:rsidR="005B6B58">
        <w:rPr>
          <w:rFonts w:ascii="Times New Roman" w:hAnsi="Times New Roman" w:cs="Times New Roman"/>
          <w:b/>
          <w:sz w:val="24"/>
          <w:szCs w:val="24"/>
          <w:lang w:val="en-US"/>
        </w:rPr>
        <w:tab/>
      </w:r>
    </w:p>
    <w:p w:rsidR="00DF326C" w:rsidRDefault="00DF326C"/>
    <w:sectPr w:rsidR="00DF326C" w:rsidSect="00C97806">
      <w:pgSz w:w="16838" w:h="11906" w:orient="landscape" w:code="9"/>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44FF"/>
    <w:rsid w:val="005A30CA"/>
    <w:rsid w:val="005B6B58"/>
    <w:rsid w:val="007A2820"/>
    <w:rsid w:val="007C44FF"/>
    <w:rsid w:val="00A5263D"/>
    <w:rsid w:val="00C97806"/>
    <w:rsid w:val="00DF32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58"/>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B5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58"/>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B5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EEA8-6DE1-45BC-9332-6A114AA3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CSCS</cp:lastModifiedBy>
  <cp:revision>2</cp:revision>
  <cp:lastPrinted>2017-04-03T06:23:00Z</cp:lastPrinted>
  <dcterms:created xsi:type="dcterms:W3CDTF">2017-04-03T07:33:00Z</dcterms:created>
  <dcterms:modified xsi:type="dcterms:W3CDTF">2017-04-03T07:33:00Z</dcterms:modified>
</cp:coreProperties>
</file>